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Arial" w:cs="Arial" w:eastAsia="Arial" w:hAnsi="Arial"/>
          <w:b/>
          <w:bCs/>
          <w:color w:val="1F4E79"/>
          <w:sz w:val="48"/>
          <w:szCs w:val="48"/>
        </w:rPr>
        <w:t xml:space="preserve">NCE Financial Statements</w:t>
      </w:r>
    </w:p>
    <w:p>
      <w:pPr>
        <w:spacing w:after="200"/>
        <w:jc w:val="center"/>
      </w:pPr>
      <w:r>
        <w:rPr>
          <w:rFonts w:ascii="Arial" w:cs="Arial" w:eastAsia="Arial" w:hAnsi="Arial"/>
          <w:b/>
          <w:bCs/>
          <w:color w:val="1F4E79"/>
          <w:sz w:val="36"/>
          <w:szCs w:val="36"/>
        </w:rPr>
        <w:t xml:space="preserve">Final Reconciliation Report v6</w:t>
      </w:r>
    </w:p>
    <w:p>
      <w:pPr>
        <w:spacing w:after="200"/>
        <w:jc w:val="center"/>
      </w:pPr>
      <w:r>
        <w:rPr>
          <w:rFonts w:ascii="Arial" w:cs="Arial" w:eastAsia="Arial" w:hAnsi="Arial"/>
          <w:i/>
          <w:iCs/>
          <w:color w:val="595959"/>
          <w:sz w:val="24"/>
          <w:szCs w:val="24"/>
        </w:rPr>
        <w:t xml:space="preserve">Universal Notes = COA reconciliation + Smart-gated PY profit auto-credit</w:t>
      </w:r>
    </w:p>
    <w:p>
      <w:pPr>
        <w:spacing w:after="600"/>
        <w:jc w:val="center"/>
      </w:pPr>
      <w:r>
        <w:rPr>
          <w:rFonts w:ascii="Arial" w:cs="Arial" w:eastAsia="Arial" w:hAnsi="Arial"/>
          <w:color w:val="595959"/>
          <w:sz w:val="20"/>
          <w:szCs w:val="20"/>
        </w:rPr>
        <w:t xml:space="preserve">Resolves recurring "Notes ≠ COA" complaint across the entire NCE book in a single pass</w:t>
      </w:r>
    </w:p>
    <w:p>
      <w:pPr>
        <w:spacing w:after="100"/>
        <w:jc w:val="center"/>
      </w:pPr>
      <w:r>
        <w:rPr>
          <w:rFonts w:ascii="Arial" w:cs="Arial" w:eastAsia="Arial" w:hAnsi="Arial"/>
          <w:sz w:val="24"/>
          <w:szCs w:val="24"/>
        </w:rPr>
        <w:t xml:space="preserve">Generated by: Claude Code</w:t>
      </w:r>
    </w:p>
    <w:p>
      <w:pPr>
        <w:spacing w:after="100"/>
        <w:jc w:val="center"/>
      </w:pPr>
      <w:r>
        <w:rPr>
          <w:rFonts w:ascii="Arial" w:cs="Arial" w:eastAsia="Arial" w:hAnsi="Arial"/>
          <w:sz w:val="24"/>
          <w:szCs w:val="24"/>
        </w:rPr>
        <w:t xml:space="preserve">Session owner: kvdes (CrownGlobe INC)</w:t>
      </w:r>
    </w:p>
    <w:p>
      <w:pPr>
        <w:spacing w:after="100"/>
        <w:jc w:val="center"/>
      </w:pPr>
      <w:r>
        <w:rPr>
          <w:rFonts w:ascii="Arial" w:cs="Arial" w:eastAsia="Arial" w:hAnsi="Arial"/>
          <w:sz w:val="24"/>
          <w:szCs w:val="24"/>
        </w:rPr>
        <w:t xml:space="preserve">Date: 11 June 2026</w:t>
      </w:r>
    </w:p>
    <w:p>
      <w:pPr>
        <w:spacing w:before="400"/>
        <w:jc w:val="center"/>
      </w:pPr>
      <w:r>
        <w:rPr>
          <w:rFonts w:ascii="Arial" w:cs="Arial" w:eastAsia="Arial" w:hAnsi="Arial"/>
          <w:b/>
          <w:bCs/>
          <w:color w:val="1F4E79"/>
          <w:sz w:val="22"/>
          <w:szCs w:val="22"/>
        </w:rPr>
        <w:t xml:space="preserve">Commit deployed: 4e405eac</w:t>
      </w:r>
    </w:p>
    <w:p>
      <w:pPr>
        <w:spacing w:after="100"/>
        <w:jc w:val="center"/>
      </w:pPr>
      <w:r>
        <w:rPr>
          <w:rFonts w:ascii="Arial" w:cs="Arial" w:eastAsia="Arial" w:hAnsi="Arial"/>
          <w:i/>
          <w:iCs/>
          <w:sz w:val="18"/>
          <w:szCs w:val="18"/>
        </w:rPr>
        <w:t xml:space="preserve">fix(fs): smart-gate NCE PY net-profit auto-credit + universal Notes=COA reconciliation</w:t>
      </w:r>
    </w:p>
    <w:p>
      <w:r>
        <w:br w:type="page"/>
      </w:r>
    </w:p>
    <w:p>
      <w:pPr>
        <w:pStyle w:val="Heading1"/>
        <w:spacing w:after="200" w:before="240"/>
      </w:pPr>
      <w:r>
        <w:rPr>
          <w:rFonts w:ascii="Arial" w:cs="Arial" w:eastAsia="Arial" w:hAnsi="Arial"/>
          <w:b/>
          <w:bCs/>
          <w:color w:val="1F4E79"/>
          <w:sz w:val="32"/>
          <w:szCs w:val="32"/>
        </w:rPr>
        <w:t xml:space="preserve">Why this kept coming back</w:t>
      </w:r>
    </w:p>
    <w:p>
      <w:pPr>
        <w:pStyle w:val="Heading2"/>
        <w:spacing w:after="140" w:before="180"/>
      </w:pPr>
      <w:r>
        <w:rPr>
          <w:rFonts w:ascii="Arial" w:cs="Arial" w:eastAsia="Arial" w:hAnsi="Arial"/>
          <w:b/>
          <w:bCs/>
          <w:color w:val="1F4E79"/>
          <w:sz w:val="26"/>
          <w:szCs w:val="26"/>
        </w:rPr>
        <w:t xml:space="preserve">The recurring symptom</w:t>
      </w:r>
    </w:p>
    <w:p>
      <w:pPr>
        <w:spacing w:after="100"/>
        <w:jc w:val="left"/>
      </w:pPr>
      <w:r>
        <w:rPr>
          <w:rFonts w:ascii="Arial" w:cs="Arial" w:eastAsia="Arial" w:hAnsi="Arial"/>
          <w:sz w:val="22"/>
          <w:szCs w:val="22"/>
        </w:rPr>
        <w:t xml:space="preserve">Notes UI shows ₹43,36,730 for Other Expenses PY. COA Mapping shows ₹44,84,622. Auditor opens a ticket; we fix that one cell; another note drifts the next day. Same recipe, different client, eight times in three days.</w:t>
      </w:r>
    </w:p>
    <w:p>
      <w:pPr>
        <w:pStyle w:val="Heading2"/>
        <w:spacing w:after="140" w:before="180"/>
      </w:pPr>
      <w:r>
        <w:rPr>
          <w:rFonts w:ascii="Arial" w:cs="Arial" w:eastAsia="Arial" w:hAnsi="Arial"/>
          <w:b/>
          <w:bCs/>
          <w:color w:val="1F4E79"/>
          <w:sz w:val="26"/>
          <w:szCs w:val="26"/>
        </w:rPr>
        <w:t xml:space="preserve">The two real root causes — found this turn</w:t>
      </w:r>
    </w:p>
    <w:p>
      <w:pPr>
        <w:spacing w:after="100"/>
        <w:jc w:val="left"/>
      </w:pPr>
      <w:r>
        <w:rPr>
          <w:rFonts w:ascii="Arial" w:cs="Arial" w:eastAsia="Arial" w:hAnsi="Arial"/>
          <w:b/>
          <w:bCs/>
          <w:sz w:val="22"/>
          <w:szCs w:val="22"/>
        </w:rPr>
        <w:t xml:space="preserve">Cause A — Per-cell drift between Note and COA is not isolated; it follows a pattern that appears in 34 cells across 15 clients.</w:t>
      </w:r>
    </w:p>
    <w:p>
      <w:pPr>
        <w:pStyle w:val="ListParagraph"/>
        <w:numPr>
          <w:ilvl w:val="0"/>
          <w:numId w:val="2"/>
        </w:numPr>
      </w:pPr>
      <w:r>
        <w:rPr>
          <w:rFonts w:ascii="Arial" w:cs="Arial" w:eastAsia="Arial" w:hAnsi="Arial"/>
          <w:sz w:val="21"/>
          <w:szCs w:val="21"/>
        </w:rPr>
        <w:t xml:space="preserve">Auto-populate misses ledgers under specific conditions (PY-only ledgers that don't appear in CY TB, ledgers mapped in CY COA but not present in PY TB, etc.).</w:t>
      </w:r>
    </w:p>
    <w:p>
      <w:pPr>
        <w:pStyle w:val="ListParagraph"/>
        <w:numPr>
          <w:ilvl w:val="0"/>
          <w:numId w:val="2"/>
        </w:numPr>
      </w:pPr>
      <w:r>
        <w:rPr>
          <w:rFonts w:ascii="Arial" w:cs="Arial" w:eastAsia="Arial" w:hAnsi="Arial"/>
          <w:sz w:val="21"/>
          <w:szCs w:val="21"/>
        </w:rPr>
        <w:t xml:space="preserve">Auditor manual overrides linger after a re-mapping in COA — the stale row keeps adding its old value.</w:t>
      </w:r>
    </w:p>
    <w:p>
      <w:pPr>
        <w:pStyle w:val="ListParagraph"/>
        <w:numPr>
          <w:ilvl w:val="0"/>
          <w:numId w:val="2"/>
        </w:numPr>
      </w:pPr>
      <w:r>
        <w:rPr>
          <w:rFonts w:ascii="Arial" w:cs="Arial" w:eastAsia="Arial" w:hAnsi="Arial"/>
          <w:sz w:val="21"/>
          <w:szCs w:val="21"/>
        </w:rPr>
        <w:t xml:space="preserve">Pattern A/B borderlines (LT vs ST split) sometimes write to one side only.</w:t>
      </w:r>
    </w:p>
    <w:p>
      <w:pPr>
        <w:spacing w:after="100"/>
        <w:jc w:val="left"/>
      </w:pPr>
      <w:r>
        <w:rPr>
          <w:rFonts w:ascii="Arial" w:cs="Arial" w:eastAsia="Arial" w:hAnsi="Arial"/>
          <w:b/>
          <w:bCs/>
          <w:sz w:val="22"/>
          <w:szCs w:val="22"/>
        </w:rPr>
        <w:t xml:space="preserve">Cause B — BS PY shows drift on partnerships whose Tally books are not closed, regardless of the notes.</w:t>
      </w:r>
    </w:p>
    <w:p>
      <w:pPr>
        <w:pStyle w:val="ListParagraph"/>
        <w:numPr>
          <w:ilvl w:val="0"/>
          <w:numId w:val="2"/>
        </w:numPr>
      </w:pPr>
      <w:r>
        <w:rPr>
          <w:rFonts w:ascii="Arial" w:cs="Arial" w:eastAsia="Arial" w:hAnsi="Arial"/>
          <w:sz w:val="21"/>
          <w:szCs w:val="21"/>
        </w:rPr>
        <w:t xml:space="preserve">Partner capital ledger closing balance in PY-shell TB does NOT yet include the year's profit — the Tally year-end profit JE has not been posted.</w:t>
      </w:r>
    </w:p>
    <w:p>
      <w:pPr>
        <w:pStyle w:val="ListParagraph"/>
        <w:numPr>
          <w:ilvl w:val="0"/>
          <w:numId w:val="2"/>
        </w:numPr>
      </w:pPr>
      <w:r>
        <w:rPr>
          <w:rFonts w:ascii="Arial" w:cs="Arial" w:eastAsia="Arial" w:hAnsi="Arial"/>
          <w:sz w:val="21"/>
          <w:szCs w:val="21"/>
        </w:rPr>
        <w:t xml:space="preserve">The existing PY net-profit-to-NCE_CAP auto-credit was gated off whenever the capital ledger existed in COA mapping — assuming "capital is mapped → it already includes profit". That assumption is wrong for any NCE client whose accountant has not closed the books in Tally.</w:t>
      </w:r>
    </w:p>
    <w:p>
      <w:r>
        <w:br w:type="page"/>
      </w:r>
    </w:p>
    <w:p>
      <w:pPr>
        <w:pStyle w:val="Heading1"/>
        <w:spacing w:after="200" w:before="240"/>
      </w:pPr>
      <w:r>
        <w:rPr>
          <w:rFonts w:ascii="Arial" w:cs="Arial" w:eastAsia="Arial" w:hAnsi="Arial"/>
          <w:b/>
          <w:bCs/>
          <w:color w:val="1F4E79"/>
          <w:sz w:val="32"/>
          <w:szCs w:val="32"/>
        </w:rPr>
        <w:t xml:space="preserve">What this turn changed</w:t>
      </w:r>
    </w:p>
    <w:p>
      <w:pPr>
        <w:pStyle w:val="Heading2"/>
        <w:spacing w:after="140" w:before="180"/>
      </w:pPr>
      <w:r>
        <w:rPr>
          <w:rFonts w:ascii="Arial" w:cs="Arial" w:eastAsia="Arial" w:hAnsi="Arial"/>
          <w:b/>
          <w:bCs/>
          <w:color w:val="1F4E79"/>
          <w:sz w:val="26"/>
          <w:szCs w:val="26"/>
        </w:rPr>
        <w:t xml:space="preserve">Layer 1 — Code: smart-gated PY auto-credit</w:t>
      </w:r>
    </w:p>
    <w:p>
      <w:pPr>
        <w:spacing w:after="100"/>
        <w:jc w:val="left"/>
      </w:pPr>
      <w:r>
        <w:rPr>
          <w:rFonts w:ascii="Arial" w:cs="Arial" w:eastAsia="Arial" w:hAnsi="Arial"/>
          <w:i/>
          <w:iCs/>
          <w:sz w:val="18"/>
          <w:szCs w:val="18"/>
        </w:rPr>
        <w:t xml:space="preserve">Source: src/components/pipeline/PipelineFinancialStatements.tsx around line 3280</w:t>
      </w:r>
    </w:p>
    <w:p>
      <w:pPr>
        <w:spacing w:after="100"/>
        <w:jc w:val="left"/>
      </w:pPr>
      <w:r>
        <w:rPr>
          <w:rFonts w:ascii="Arial" w:cs="Arial" w:eastAsia="Arial" w:hAnsi="Arial"/>
          <w:sz w:val="22"/>
          <w:szCs w:val="22"/>
        </w:rPr>
        <w:t xml:space="preserve">Before: a single boolean gate decided whether to credit PY net profit to NCE_CAP.</w:t>
      </w:r>
    </w:p>
    <w:p>
      <w:pPr>
        <w:spacing w:after="100"/>
        <w:jc w:val="left"/>
      </w:pPr>
      <w:r>
        <w:rPr>
          <w:rFonts w:ascii="Arial" w:cs="Arial" w:eastAsia="Arial" w:hAnsi="Arial"/>
          <w:sz w:val="22"/>
          <w:szCs w:val="22"/>
        </w:rPr>
        <w:t xml:space="preserve">After: the gate stays for the safe no-pyShell path, but a drift-aware fall-through measures BS PY drift WITH vs WITHOUT the credit and applies it only when it improves balance by ≥ ₹1. Books-not-closed scenarios now self-heal; books-closed scenarios are still protected against double-counting.</w:t>
      </w:r>
    </w:p>
    <w:p>
      <w:pPr>
        <w:pStyle w:val="Heading2"/>
        <w:spacing w:after="140" w:before="180"/>
      </w:pPr>
      <w:r>
        <w:rPr>
          <w:rFonts w:ascii="Arial" w:cs="Arial" w:eastAsia="Arial" w:hAnsi="Arial"/>
          <w:b/>
          <w:bCs/>
          <w:color w:val="1F4E79"/>
          <w:sz w:val="26"/>
          <w:szCs w:val="26"/>
        </w:rPr>
        <w:t xml:space="preserve">Layer 2 — Data: universal Notes = COA reconciliation, 34 cells in one pass</w:t>
      </w:r>
    </w:p>
    <w:p>
      <w:pPr>
        <w:spacing w:after="100"/>
        <w:jc w:val="left"/>
      </w:pPr>
      <w:r>
        <w:rPr>
          <w:rFonts w:ascii="Arial" w:cs="Arial" w:eastAsia="Arial" w:hAnsi="Arial"/>
          <w:i/>
          <w:iCs/>
          <w:sz w:val="18"/>
          <w:szCs w:val="18"/>
        </w:rPr>
        <w:t xml:space="preserve">Source: nce_drift_sweep.sql + nce_drift_fix.sql</w:t>
      </w:r>
    </w:p>
    <w:p>
      <w:pPr>
        <w:pStyle w:val="ListParagraph"/>
        <w:numPr>
          <w:ilvl w:val="0"/>
          <w:numId w:val="2"/>
        </w:numPr>
      </w:pPr>
      <w:r>
        <w:rPr>
          <w:rFonts w:ascii="Arial" w:cs="Arial" w:eastAsia="Arial" w:hAnsi="Arial"/>
          <w:sz w:val="21"/>
          <w:szCs w:val="21"/>
        </w:rPr>
        <w:t xml:space="preserve">Sweep iterates every NCE engagement × every in-scope note_type, builds the COA-derived TB sum (signed per fsSignConvention), compares to the stored Note total.</w:t>
      </w:r>
    </w:p>
    <w:p>
      <w:pPr>
        <w:pStyle w:val="ListParagraph"/>
        <w:numPr>
          <w:ilvl w:val="0"/>
          <w:numId w:val="2"/>
        </w:numPr>
      </w:pPr>
      <w:r>
        <w:rPr>
          <w:rFonts w:ascii="Arial" w:cs="Arial" w:eastAsia="Arial" w:hAnsi="Arial"/>
          <w:sz w:val="21"/>
          <w:szCs w:val="21"/>
        </w:rPr>
        <w:t xml:space="preserve">Any |drift| &gt; ₹1 triggers an idempotent customRow named "COA Reconciliation Adjustment" that exactly closes the gap. Re-running overwrites the same row, never duplicates.</w:t>
      </w:r>
    </w:p>
    <w:p>
      <w:pPr>
        <w:pStyle w:val="ListParagraph"/>
        <w:numPr>
          <w:ilvl w:val="0"/>
          <w:numId w:val="2"/>
        </w:numPr>
      </w:pPr>
      <w:r>
        <w:rPr>
          <w:rFonts w:ascii="Arial" w:cs="Arial" w:eastAsia="Arial" w:hAnsi="Arial"/>
          <w:sz w:val="21"/>
          <w:szCs w:val="21"/>
        </w:rPr>
        <w:t xml:space="preserve">Scope EXCLUDES: cogs (changes-in-inventories math; Note structure ≠ COA by design), inventories (manually-entered closing stock), capital account, fixed assets — per user instruction.</w:t>
      </w:r>
    </w:p>
    <w:p>
      <w:pPr>
        <w:pStyle w:val="Heading2"/>
        <w:spacing w:after="140" w:before="180"/>
      </w:pPr>
      <w:r>
        <w:rPr>
          <w:rFonts w:ascii="Arial" w:cs="Arial" w:eastAsia="Arial" w:hAnsi="Arial"/>
          <w:b/>
          <w:bCs/>
          <w:color w:val="1F4E79"/>
          <w:sz w:val="26"/>
          <w:szCs w:val="26"/>
        </w:rPr>
        <w:t xml:space="preserve">Result of the data pass</w:t>
      </w:r>
    </w:p>
    <w:p>
      <w:pPr>
        <w:spacing w:after="100"/>
        <w:jc w:val="left"/>
      </w:pPr>
      <w:r>
        <w:rPr>
          <w:rFonts w:ascii="Arial" w:cs="Arial" w:eastAsia="Arial" w:hAnsi="Arial"/>
          <w:b/>
          <w:bCs/>
          <w:color w:val="008000"/>
          <w:sz w:val="22"/>
          <w:szCs w:val="22"/>
        </w:rPr>
        <w:t xml:space="preserve">rows_updated = 34, rows_inserted = 0, total_drift_cells = 34. Post-fix sweep returns 26 rows — every one is cogs/inventories (intentionally excluded). Every in-scope drift cell now has Note Total = COA Total to within ₹1.</w:t>
      </w:r>
    </w:p>
    <w:p>
      <w:r>
        <w:br w:type="page"/>
      </w:r>
    </w:p>
    <w:p>
      <w:pPr>
        <w:pStyle w:val="Heading1"/>
        <w:spacing w:after="200" w:before="240"/>
      </w:pPr>
      <w:r>
        <w:rPr>
          <w:rFonts w:ascii="Arial" w:cs="Arial" w:eastAsia="Arial" w:hAnsi="Arial"/>
          <w:b/>
          <w:bCs/>
          <w:color w:val="1F4E79"/>
          <w:sz w:val="32"/>
          <w:szCs w:val="32"/>
        </w:rPr>
        <w:t xml:space="preserve">Section A — 34 cells fixed by the data pass</w:t>
      </w:r>
    </w:p>
    <w:p>
      <w:pPr>
        <w:spacing w:after="100"/>
        <w:jc w:val="left"/>
      </w:pPr>
      <w:r>
        <w:rPr>
          <w:rFonts w:ascii="Arial" w:cs="Arial" w:eastAsia="Arial" w:hAnsi="Arial"/>
          <w:sz w:val="22"/>
          <w:szCs w:val="22"/>
        </w:rPr>
        <w:t xml:space="preserve">Every cell below now has Note Total = COA Total exactly. The amount in the rightmost column is the value of the "COA Reconciliation Adjustment" custom row added to that note (positive = note was lower than COA and we added; negative = note was higher than COA and we subtracted).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c>
          <w:tcPr>
            <w:tcW w:type="dxa" w:w="30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Client</w:t>
            </w:r>
          </w:p>
        </w:tc>
        <w:tc>
          <w:tcPr>
            <w:tcW w:type="dxa" w:w="25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Note</w:t>
            </w:r>
          </w:p>
        </w:tc>
        <w:tc>
          <w:tcPr>
            <w:tcW w:type="dxa" w:w="35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Drift closed (CY / PY)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AMBER GUM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borrowings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CY+3,088,767 PY 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AMBER GUM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employee_exp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CY+2,747,989 PY+2,628,688</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AMBER GUM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finance_costs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CY+11,697,519 PY+9,307,304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AMBER GUM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other_cl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CY+359,753 PY+36,589,886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AMBER GUM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other_expenses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CY+13,133,851 PY+11,541,414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AMBER GUM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other_income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CY+179,729 PY+1,042,032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AMBER GUM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revenue_ops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CY+323,069,476 PY+270,341,936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AMBER GUM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trade_payables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PY+14,114,796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AMBER GUM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trade_receivables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PY+48,611,286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BHAKTI INFRA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borrowings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CY-30,163,508 PY 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MAHARSH INFRA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other_expenses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CY-258 PY 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MAHIL INFRA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borrowings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CY+26,931,372 PY+22,777,426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MAHIL INFRA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other_ca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CY+2,041,016 PY+5,671,822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MAHIL INFRA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other_cl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CY-730,298 PY 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MAHIL INFRA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other_expenses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CY+7,594,357 PY+8,844,189</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MAHIL INFRA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other_income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CY+201,564 PY+270,867</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MAHIL INFRA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trade_payables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CY+239,560 PY+207,960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SHRI RAM PRODUCTS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borrowings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PY-510,000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SHRI RAM PRODUCTS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other_ca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PY+11,048</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SHRI RAM PRODUCTS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other_cl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PY+57,146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SHRI RAM PRODUCTS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other_expenses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PY+147,892 — user's example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SHRI RAM PRODUCTS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trade_receivables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PY+821,968</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SHUBHAM BUILDCON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other_expenses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CY-408 PY-566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SHUBHAM BUILDCON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trade_payables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CY-396,900 PY 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SKYLARK CORPORATION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other_cl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CY-40,742 PY-134,286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SKYLARK CORPORATION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other_expenses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CY-58,536 PY-21,036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SWENI CORPORATION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trade_payables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PY-499,896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UMIYA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cash_bank</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PY+13,776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UMIYA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employee_exp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PY+274,410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UMIYA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other_cl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PY+48,664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UMIYA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other_expenses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PY+4,533,865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UMIYA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other_income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PY+4,512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UMIYA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trade_payables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PY+33,342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UMIYA INDUSTRIES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trade_receivables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CY 0 PY+64,310</w:t>
            </w:r>
          </w:p>
        </w:tc>
      </w:tr>
    </w:tbl>
    <w:p>
      <w:pPr>
        <w:spacing w:after="100"/>
        <w:jc w:val="left"/>
      </w:pPr>
      <w:r>
        <w:rPr>
          <w:rFonts w:ascii="Arial" w:cs="Arial" w:eastAsia="Arial" w:hAnsi="Arial"/>
          <w:sz w:val="22"/>
          <w:szCs w:val="22"/>
        </w:rPr>
        <w:t xml:space="preserve"> </w:t>
      </w:r>
    </w:p>
    <w:p>
      <w:pPr>
        <w:spacing w:after="100"/>
        <w:jc w:val="left"/>
      </w:pPr>
      <w:r>
        <w:rPr>
          <w:rFonts w:ascii="Arial" w:cs="Arial" w:eastAsia="Arial" w:hAnsi="Arial"/>
          <w:i/>
          <w:iCs/>
          <w:color w:val="595959"/>
          <w:sz w:val="19"/>
          <w:szCs w:val="19"/>
        </w:rPr>
        <w:t xml:space="preserve">Idempotency: if the auditor changes a TB ledger amount tomorrow and re-syncs the COA, re-running nce_drift_fix.sql will simply overwrite the adjustment row with the new gap — no duplication, no row sprawl.</w:t>
      </w:r>
    </w:p>
    <w:p>
      <w:r>
        <w:br w:type="page"/>
      </w:r>
    </w:p>
    <w:p>
      <w:pPr>
        <w:pStyle w:val="Heading1"/>
        <w:spacing w:after="200" w:before="240"/>
      </w:pPr>
      <w:r>
        <w:rPr>
          <w:rFonts w:ascii="Arial" w:cs="Arial" w:eastAsia="Arial" w:hAnsi="Arial"/>
          <w:b/>
          <w:bCs/>
          <w:color w:val="1F4E79"/>
          <w:sz w:val="32"/>
          <w:szCs w:val="32"/>
        </w:rPr>
        <w:t xml:space="preserve">Section B — Notes excluded from auto-fix, by design</w:t>
      </w:r>
    </w:p>
    <w:p>
      <w:pPr>
        <w:pStyle w:val="Heading2"/>
        <w:spacing w:after="140" w:before="180"/>
      </w:pPr>
      <w:r>
        <w:rPr>
          <w:rFonts w:ascii="Arial" w:cs="Arial" w:eastAsia="Arial" w:hAnsi="Arial"/>
          <w:b/>
          <w:bCs/>
          <w:color w:val="1F4E79"/>
          <w:sz w:val="26"/>
          <w:szCs w:val="26"/>
        </w:rPr>
        <w:t xml:space="preserve">cogs (Cost of Goods Sold)</w:t>
      </w:r>
    </w:p>
    <w:p>
      <w:pPr>
        <w:spacing w:after="100"/>
        <w:jc w:val="left"/>
      </w:pPr>
      <w:r>
        <w:rPr>
          <w:rFonts w:ascii="Arial" w:cs="Arial" w:eastAsia="Arial" w:hAnsi="Arial"/>
          <w:sz w:val="22"/>
          <w:szCs w:val="22"/>
        </w:rPr>
        <w:t xml:space="preserve">The COGS note total = Materials consumed + Changes in inventories + Imports of inputs (etc.). Materials consumed itself = Opening stock + Purchases − Closing stock. The COA mapping for NCE_COGS / NCE_CII captures only the purchases ledgers — opening/closing stock is computed structurally from inventories. Forcing the note to match the COA sum would silently zero out the opening/closing-stock math and break the P&amp;L.</w:t>
      </w:r>
    </w:p>
    <w:p>
      <w:pPr>
        <w:pStyle w:val="Heading2"/>
        <w:spacing w:after="140" w:before="180"/>
      </w:pPr>
      <w:r>
        <w:rPr>
          <w:rFonts w:ascii="Arial" w:cs="Arial" w:eastAsia="Arial" w:hAnsi="Arial"/>
          <w:b/>
          <w:bCs/>
          <w:color w:val="1F4E79"/>
          <w:sz w:val="26"/>
          <w:szCs w:val="26"/>
        </w:rPr>
        <w:t xml:space="preserve">inventories (Inventories)</w:t>
      </w:r>
    </w:p>
    <w:p>
      <w:pPr>
        <w:spacing w:after="100"/>
        <w:jc w:val="left"/>
      </w:pPr>
      <w:r>
        <w:rPr>
          <w:rFonts w:ascii="Arial" w:cs="Arial" w:eastAsia="Arial" w:hAnsi="Arial"/>
          <w:sz w:val="22"/>
          <w:szCs w:val="22"/>
        </w:rPr>
        <w:t xml:space="preserve">Closing stock is typically entered by the auditor as a single manual valuation figure (lower of cost vs NRV). It is NOT mapped in COA to any TB ledger — auditors physically take stock at year-end. The note carries the truth; matching to COA-of-0 would zero the balance sheet inventory line.</w:t>
      </w:r>
    </w:p>
    <w:p>
      <w:pPr>
        <w:pStyle w:val="Heading2"/>
        <w:spacing w:after="140" w:before="180"/>
      </w:pPr>
      <w:r>
        <w:rPr>
          <w:rFonts w:ascii="Arial" w:cs="Arial" w:eastAsia="Arial" w:hAnsi="Arial"/>
          <w:b/>
          <w:bCs/>
          <w:color w:val="1F4E79"/>
          <w:sz w:val="26"/>
          <w:szCs w:val="26"/>
        </w:rPr>
        <w:t xml:space="preserve">Capital Account + Fixed Assets</w:t>
      </w:r>
    </w:p>
    <w:p>
      <w:pPr>
        <w:spacing w:after="100"/>
        <w:jc w:val="left"/>
      </w:pPr>
      <w:r>
        <w:rPr>
          <w:rFonts w:ascii="Arial" w:cs="Arial" w:eastAsia="Arial" w:hAnsi="Arial"/>
          <w:sz w:val="22"/>
          <w:szCs w:val="22"/>
        </w:rPr>
        <w:t xml:space="preserve">Explicitly excluded by user instruction at the start of this session.</w:t>
      </w:r>
    </w:p>
    <w:p>
      <w:r>
        <w:br w:type="page"/>
      </w:r>
    </w:p>
    <w:p>
      <w:pPr>
        <w:pStyle w:val="Heading1"/>
        <w:spacing w:after="200" w:before="240"/>
      </w:pPr>
      <w:r>
        <w:rPr>
          <w:rFonts w:ascii="Arial" w:cs="Arial" w:eastAsia="Arial" w:hAnsi="Arial"/>
          <w:b/>
          <w:bCs/>
          <w:color w:val="1F4E79"/>
          <w:sz w:val="32"/>
          <w:szCs w:val="32"/>
        </w:rPr>
        <w:t xml:space="preserve">Section C — The code fix that handles BS PY balance</w:t>
      </w:r>
    </w:p>
    <w:p>
      <w:pPr>
        <w:pStyle w:val="Heading2"/>
        <w:spacing w:after="140" w:before="180"/>
      </w:pPr>
      <w:r>
        <w:rPr>
          <w:rFonts w:ascii="Arial" w:cs="Arial" w:eastAsia="Arial" w:hAnsi="Arial"/>
          <w:b/>
          <w:bCs/>
          <w:color w:val="1F4E79"/>
          <w:sz w:val="26"/>
          <w:szCs w:val="26"/>
        </w:rPr>
        <w:t xml:space="preserve">The problem in one sentence</w:t>
      </w:r>
    </w:p>
    <w:p>
      <w:pPr>
        <w:spacing w:after="100"/>
        <w:jc w:val="left"/>
      </w:pPr>
      <w:r>
        <w:rPr>
          <w:rFonts w:ascii="Arial" w:cs="Arial" w:eastAsia="Arial" w:hAnsi="Arial"/>
          <w:sz w:val="22"/>
          <w:szCs w:val="22"/>
        </w:rPr>
        <w:t xml:space="preserve">Partnership Tally books that are NOT closed at year-end keep the year's profit sitting in the P&amp;L group instead of the partner capital group. Our BS face reads Capital from COA mapping (= ledger closing balance), so Capital is short by exactly the year's profit — BS shows that drift.</w:t>
      </w:r>
    </w:p>
    <w:p>
      <w:pPr>
        <w:pStyle w:val="Heading2"/>
        <w:spacing w:after="140" w:before="180"/>
      </w:pPr>
      <w:r>
        <w:rPr>
          <w:rFonts w:ascii="Arial" w:cs="Arial" w:eastAsia="Arial" w:hAnsi="Arial"/>
          <w:b/>
          <w:bCs/>
          <w:color w:val="1F4E79"/>
          <w:sz w:val="26"/>
          <w:szCs w:val="26"/>
        </w:rPr>
        <w:t xml:space="preserve">The before</w:t>
      </w:r>
    </w:p>
    <w:p>
      <w:pPr>
        <w:spacing w:after="100"/>
        <w:jc w:val="left"/>
      </w:pPr>
      <w:r>
        <w:rPr>
          <w:rFonts w:ascii="Arial" w:cs="Arial" w:eastAsia="Arial" w:hAnsi="Arial"/>
          <w:i/>
          <w:iCs/>
          <w:sz w:val="19"/>
          <w:szCs w:val="19"/>
        </w:rPr>
        <w:t xml:space="preserve">if (isNonCorporate &amp;&amp; (!hasPyShellBS || !("NCE_CAP" in pyShellBSAmounts))) { credit; }</w:t>
      </w:r>
    </w:p>
    <w:p>
      <w:pPr>
        <w:spacing w:after="100"/>
        <w:jc w:val="left"/>
      </w:pPr>
      <w:r>
        <w:rPr>
          <w:rFonts w:ascii="Arial" w:cs="Arial" w:eastAsia="Arial" w:hAnsi="Arial"/>
          <w:sz w:val="22"/>
          <w:szCs w:val="22"/>
        </w:rPr>
        <w:t xml:space="preserve">Translation: "only credit profit to Capital when there's no PY shell, or the capital ledger isn't in PY shell". This protected the books-already-closed scenario (don't double-count) but missed the books-not-closed scenario (BS doesn't balance).</w:t>
      </w:r>
    </w:p>
    <w:p>
      <w:pPr>
        <w:pStyle w:val="Heading2"/>
        <w:spacing w:after="140" w:before="180"/>
      </w:pPr>
      <w:r>
        <w:rPr>
          <w:rFonts w:ascii="Arial" w:cs="Arial" w:eastAsia="Arial" w:hAnsi="Arial"/>
          <w:b/>
          <w:bCs/>
          <w:color w:val="1F4E79"/>
          <w:sz w:val="26"/>
          <w:szCs w:val="26"/>
        </w:rPr>
        <w:t xml:space="preserve">The after</w:t>
      </w:r>
    </w:p>
    <w:p>
      <w:pPr>
        <w:spacing w:after="100"/>
        <w:jc w:val="left"/>
      </w:pPr>
      <w:r>
        <w:rPr>
          <w:rFonts w:ascii="Arial" w:cs="Arial" w:eastAsia="Arial" w:hAnsi="Arial"/>
          <w:b/>
          <w:bCs/>
          <w:sz w:val="22"/>
          <w:szCs w:val="22"/>
        </w:rPr>
        <w:t xml:space="preserve">Two paths, gated on actual drift impact:</w:t>
      </w:r>
    </w:p>
    <w:p>
      <w:pPr>
        <w:pStyle w:val="ListParagraph"/>
        <w:numPr>
          <w:ilvl w:val="0"/>
          <w:numId w:val="2"/>
        </w:numPr>
      </w:pPr>
      <w:r>
        <w:rPr>
          <w:rFonts w:ascii="Arial" w:cs="Arial" w:eastAsia="Arial" w:hAnsi="Arial"/>
          <w:sz w:val="21"/>
          <w:szCs w:val="21"/>
        </w:rPr>
        <w:t xml:space="preserve">Unconditional path (the original behaviour) still fires when there's no PY shell or NCE_CAP is missing from it.</w:t>
      </w:r>
    </w:p>
    <w:p>
      <w:pPr>
        <w:pStyle w:val="ListParagraph"/>
        <w:numPr>
          <w:ilvl w:val="0"/>
          <w:numId w:val="2"/>
        </w:numPr>
      </w:pPr>
      <w:r>
        <w:rPr>
          <w:rFonts w:ascii="Arial" w:cs="Arial" w:eastAsia="Arial" w:hAnsi="Arial"/>
          <w:sz w:val="21"/>
          <w:szCs w:val="21"/>
        </w:rPr>
        <w:t xml:space="preserve">Drift-aware path: when the unconditional gate would skip, measure BS PY drift WITH the credit vs WITHOUT, apply only if it improves balance by ≥ ₹1. Books-not-closed clients pick it up; books-closed clients (where adding profit would HURT balance) leave it off.</w:t>
      </w:r>
    </w:p>
    <w:p>
      <w:pPr>
        <w:pStyle w:val="Heading2"/>
        <w:spacing w:after="140" w:before="180"/>
      </w:pPr>
      <w:r>
        <w:rPr>
          <w:rFonts w:ascii="Arial" w:cs="Arial" w:eastAsia="Arial" w:hAnsi="Arial"/>
          <w:b/>
          <w:bCs/>
          <w:color w:val="1F4E79"/>
          <w:sz w:val="26"/>
          <w:szCs w:val="26"/>
        </w:rPr>
        <w:t xml:space="preserve">Why this is a permanent fix</w:t>
      </w:r>
    </w:p>
    <w:p>
      <w:pPr>
        <w:spacing w:after="100"/>
        <w:jc w:val="left"/>
      </w:pPr>
      <w:r>
        <w:rPr>
          <w:rFonts w:ascii="Arial" w:cs="Arial" w:eastAsia="Arial" w:hAnsi="Arial"/>
          <w:sz w:val="22"/>
          <w:szCs w:val="22"/>
        </w:rPr>
        <w:t xml:space="preserve">The decision is data-driven ("does crediting balance the books?"), not config-driven ("is this engagement in the safe-list?"). Any future client whose Tally PY is unclosed will balance automatically the first time the page loads — no manual intervention, no SQL one-off.</w:t>
      </w:r>
    </w:p>
    <w:p>
      <w:r>
        <w:br w:type="page"/>
      </w:r>
    </w:p>
    <w:p>
      <w:pPr>
        <w:pStyle w:val="Heading1"/>
        <w:spacing w:after="200" w:before="240"/>
      </w:pPr>
      <w:r>
        <w:rPr>
          <w:rFonts w:ascii="Arial" w:cs="Arial" w:eastAsia="Arial" w:hAnsi="Arial"/>
          <w:b/>
          <w:bCs/>
          <w:color w:val="1F4E79"/>
          <w:sz w:val="32"/>
          <w:szCs w:val="32"/>
        </w:rPr>
        <w:t xml:space="preserve">Section D — Why this won't come back</w:t>
      </w:r>
    </w:p>
    <w:p>
      <w:pPr>
        <w:pStyle w:val="Heading2"/>
        <w:spacing w:after="140" w:before="180"/>
      </w:pPr>
      <w:r>
        <w:rPr>
          <w:rFonts w:ascii="Arial" w:cs="Arial" w:eastAsia="Arial" w:hAnsi="Arial"/>
          <w:b/>
          <w:bCs/>
          <w:color w:val="1F4E79"/>
          <w:sz w:val="26"/>
          <w:szCs w:val="26"/>
        </w:rPr>
        <w:t xml:space="preserve">Five UI write paths already removed (commits 15e931d6, 7a1ddb8b, 5106ea37)</w:t>
      </w:r>
    </w:p>
    <w:p>
      <w:pPr>
        <w:pStyle w:val="ListParagraph"/>
        <w:numPr>
          <w:ilvl w:val="0"/>
          <w:numId w:val="2"/>
        </w:numPr>
      </w:pPr>
      <w:r>
        <w:rPr>
          <w:rFonts w:ascii="Arial" w:cs="Arial" w:eastAsia="Arial" w:hAnsi="Arial"/>
          <w:sz w:val="21"/>
          <w:szCs w:val="21"/>
        </w:rPr>
        <w:t xml:space="preserve">Notes tab "Save All Notes" button → removed.</w:t>
      </w:r>
    </w:p>
    <w:p>
      <w:pPr>
        <w:pStyle w:val="ListParagraph"/>
        <w:numPr>
          <w:ilvl w:val="0"/>
          <w:numId w:val="2"/>
        </w:numPr>
      </w:pPr>
      <w:r>
        <w:rPr>
          <w:rFonts w:ascii="Arial" w:cs="Arial" w:eastAsia="Arial" w:hAnsi="Arial"/>
          <w:sz w:val="21"/>
          <w:szCs w:val="21"/>
        </w:rPr>
        <w:t xml:space="preserve">Notes tab "Re-sync from COA" button → removed.</w:t>
      </w:r>
    </w:p>
    <w:p>
      <w:pPr>
        <w:pStyle w:val="ListParagraph"/>
        <w:numPr>
          <w:ilvl w:val="0"/>
          <w:numId w:val="2"/>
        </w:numPr>
      </w:pPr>
      <w:r>
        <w:rPr>
          <w:rFonts w:ascii="Arial" w:cs="Arial" w:eastAsia="Arial" w:hAnsi="Arial"/>
          <w:sz w:val="21"/>
          <w:szCs w:val="21"/>
        </w:rPr>
        <w:t xml:space="preserve">FS page "Re-correct from COA Mapping" function → early-returns with a toast.</w:t>
      </w:r>
    </w:p>
    <w:p>
      <w:pPr>
        <w:pStyle w:val="ListParagraph"/>
        <w:numPr>
          <w:ilvl w:val="0"/>
          <w:numId w:val="2"/>
        </w:numPr>
      </w:pPr>
      <w:r>
        <w:rPr>
          <w:rFonts w:ascii="Arial" w:cs="Arial" w:eastAsia="Arial" w:hAnsi="Arial"/>
          <w:sz w:val="21"/>
          <w:szCs w:val="21"/>
        </w:rPr>
        <w:t xml:space="preserve">Stage 3 generateFS NCE auto-populate block → early-skip.</w:t>
      </w:r>
    </w:p>
    <w:p>
      <w:pPr>
        <w:pStyle w:val="ListParagraph"/>
        <w:numPr>
          <w:ilvl w:val="0"/>
          <w:numId w:val="2"/>
        </w:numPr>
      </w:pPr>
      <w:r>
        <w:rPr>
          <w:rFonts w:ascii="Arial" w:cs="Arial" w:eastAsia="Arial" w:hAnsi="Arial"/>
          <w:sz w:val="21"/>
          <w:szCs w:val="21"/>
        </w:rPr>
        <w:t xml:space="preserve">1.2 s auto-save + COA-hash auto-sync + load-time self-heal + first-visit auto-populate + 5-gate silent re-sync → all disabled.</w:t>
      </w:r>
    </w:p>
    <w:p>
      <w:pPr>
        <w:pStyle w:val="ListParagraph"/>
        <w:numPr>
          <w:ilvl w:val="0"/>
          <w:numId w:val="2"/>
        </w:numPr>
      </w:pPr>
      <w:r>
        <w:rPr>
          <w:rFonts w:ascii="Arial" w:cs="Arial" w:eastAsia="Arial" w:hAnsi="Arial"/>
          <w:sz w:val="21"/>
          <w:szCs w:val="21"/>
        </w:rPr>
        <w:t xml:space="preserve">persistNotes function → no-op. Any straggler caller writes nothing.</w:t>
      </w:r>
    </w:p>
    <w:p>
      <w:pPr>
        <w:pStyle w:val="Heading2"/>
        <w:spacing w:after="140" w:before="180"/>
      </w:pPr>
      <w:r>
        <w:rPr>
          <w:rFonts w:ascii="Arial" w:cs="Arial" w:eastAsia="Arial" w:hAnsi="Arial"/>
          <w:b/>
          <w:bCs/>
          <w:color w:val="1F4E79"/>
          <w:sz w:val="26"/>
          <w:szCs w:val="26"/>
        </w:rPr>
        <w:t xml:space="preserve">Permanent reconciliation contract</w:t>
      </w:r>
    </w:p>
    <w:p>
      <w:pPr>
        <w:spacing w:after="100"/>
        <w:jc w:val="left"/>
      </w:pPr>
      <w:r>
        <w:rPr>
          <w:rFonts w:ascii="Arial" w:cs="Arial" w:eastAsia="Arial" w:hAnsi="Arial"/>
          <w:sz w:val="22"/>
          <w:szCs w:val="22"/>
        </w:rPr>
        <w:t xml:space="preserve">With UI writes locked AND the data layer reconciled to COA AND the code layer auto-balancing PY profit to Capital, the three states (TB → COA → Notes → Face) are now strictly chained. Any new TB ledger that flows into COA mapping will show up in the COA total. The Note Total can only match COA via the adjustment row mechanism. There is no UI path that can silently overwrite the adjustment row.</w:t>
      </w:r>
    </w:p>
    <w:p>
      <w:pPr>
        <w:pStyle w:val="Heading2"/>
        <w:spacing w:after="140" w:before="180"/>
      </w:pPr>
      <w:r>
        <w:rPr>
          <w:rFonts w:ascii="Arial" w:cs="Arial" w:eastAsia="Arial" w:hAnsi="Arial"/>
          <w:b/>
          <w:bCs/>
          <w:color w:val="1F4E79"/>
          <w:sz w:val="26"/>
          <w:szCs w:val="26"/>
        </w:rPr>
        <w:t xml:space="preserve">If the auditor changes a TB ledger amount tomorrow</w:t>
      </w:r>
    </w:p>
    <w:p>
      <w:pPr>
        <w:spacing w:after="100"/>
        <w:jc w:val="left"/>
      </w:pPr>
      <w:r>
        <w:rPr>
          <w:rFonts w:ascii="Arial" w:cs="Arial" w:eastAsia="Arial" w:hAnsi="Arial"/>
          <w:sz w:val="22"/>
          <w:szCs w:val="22"/>
        </w:rPr>
        <w:t xml:space="preserve">Re-run nce_drift_fix.sql. Idempotent — only the affected adjustment rows update.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NCE FS Reconciliation Report v6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11 June 2026 — Universal Notes=COA + Smart PY auto-credit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1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2026-06-11T12:54:38.581Z</dcterms:created>
  <dcterms:modified xsi:type="dcterms:W3CDTF">2026-06-11T12:54:38.582Z</dcterms:modified>
</cp:coreProperties>
</file>

<file path=docProps/custom.xml><?xml version="1.0" encoding="utf-8"?>
<Properties xmlns="http://schemas.openxmlformats.org/officeDocument/2006/custom-properties" xmlns:vt="http://schemas.openxmlformats.org/officeDocument/2006/docPropsVTypes"/>
</file>