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ifferences_between_the_two_form_dc185e"/>
      <w:r>
        <w:rPr>
          <w:rFonts w:eastAsia="georgia" w:cs="georgia" w:ascii="georgia" w:hAnsi="georgia"/>
          <w:b/>
          <w:color w:val="000000"/>
          <w:sz w:val="39"/>
        </w:rPr>
        <w:t xml:space="preserve">Differences Between the Two Form 3CD PDFs</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report compares the two attached Form 3CD PDFs. One file is a populated CA-flow style Form 3CD for SWASTIK BUILDCON with several fields filled and many clauses marked as </w:t>
      </w:r>
      <w:r>
        <w:rPr>
          <w:rStyle w:val="VerbatimChar"/>
          <w:rFonts w:eastAsia="menlo" w:cs="menlo" w:ascii="menlo" w:hAnsi="menlo"/>
          <w:color w:val="000000"/>
          <w:sz w:val="18"/>
          <w:shd w:val="clear" w:color="auto" w:fill="F8F8FA"/>
        </w:rPr>
        <w:t xml:space="preserve">NIL / Not Applicable</w:t>
      </w:r>
      <w:r>
        <w:rPr>
          <w:rFonts w:eastAsia="georgia" w:cs="georgia" w:ascii="georgia" w:hAnsi="georgia"/>
          <w:color w:val="000000"/>
        </w:rPr>
        <w:t xml:space="preserve">, while the other file is a broader VJD template containing placeholders, response prompts, annexure references, and multiple annexure schedules. [file:12][file:13]</w:t>
      </w:r>
    </w:p>
    <w:p>
      <w:pPr>
        <w:spacing w:line="360" w:before="315" w:after="105" w:lineRule="auto"/>
        <w:ind w:left="-30"/>
        <w:jc w:val="left"/>
      </w:pPr>
      <w:bookmarkStart w:id="2" w:name="core_document_difference"/>
      <w:r>
        <w:rPr>
          <w:rFonts w:eastAsia="georgia" w:cs="georgia" w:ascii="georgia" w:hAnsi="georgia"/>
          <w:b/>
          <w:color w:val="000000"/>
          <w:sz w:val="24"/>
        </w:rPr>
        <w:t xml:space="preserve">Core document difference</w:t>
      </w:r>
      <w:bookmarkEnd w:id="2"/>
    </w:p>
    <w:p>
      <w:pPr>
        <w:spacing w:line="360" w:after="210" w:lineRule="auto"/>
      </w:pPr>
      <w:r>
        <w:rPr>
          <w:rFonts w:eastAsia="georgia" w:cs="georgia" w:ascii="georgia" w:hAnsi="georgia"/>
          <w:color w:val="000000"/>
        </w:rPr>
        <w:t xml:space="preserve">The CA-flow PDF is substantially a filled or semi-filled statement for SWASTIK BUILDCON, showing actual assessee name, address, PAN, GSTIN, previous year 2025-26, assessment year 2026-27, and status as Partnership. The VJD PDF remains a master template using placeholders such as </w:t>
      </w:r>
      <w:r>
        <w:rPr>
          <w:rStyle w:val="VerbatimChar"/>
          <w:rFonts w:eastAsia="menlo" w:cs="menlo" w:ascii="menlo" w:hAnsi="menlo"/>
          <w:color w:val="000000"/>
          <w:sz w:val="18"/>
          <w:shd w:val="clear" w:color="auto" w:fill="F8F8FA"/>
        </w:rPr>
        <w:t xml:space="preserve">ENTITY_NAME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ENTITY_ADDRESS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ENTITY_PAN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ENTITY_GSTIN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ENTITY_TYPE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PY_START_TO_PY_END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AY_START_TO_AY_END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ANNEXURE_No.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Select from drop down</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Insert response</w:t>
      </w:r>
      <w:r>
        <w:rPr>
          <w:rFonts w:eastAsia="georgia" w:cs="georgia" w:ascii="georgia" w:hAnsi="georgia"/>
          <w:color w:val="000000"/>
        </w:rPr>
        <w:t xml:space="preserve">. [file:12][file:13]</w:t>
      </w:r>
    </w:p>
    <w:p>
      <w:pPr>
        <w:spacing w:line="360" w:after="210" w:lineRule="auto"/>
      </w:pPr>
      <w:r>
        <w:rPr>
          <w:rFonts w:eastAsia="georgia" w:cs="georgia" w:ascii="georgia" w:hAnsi="georgia"/>
          <w:color w:val="000000"/>
        </w:rPr>
        <w:t xml:space="preserve">The CA-flow PDF largely resolves clauses by writing </w:t>
      </w:r>
      <w:r>
        <w:rPr>
          <w:rStyle w:val="VerbatimChar"/>
          <w:rFonts w:eastAsia="menlo" w:cs="menlo" w:ascii="menlo" w:hAnsi="menlo"/>
          <w:color w:val="000000"/>
          <w:sz w:val="18"/>
          <w:shd w:val="clear" w:color="auto" w:fill="F8F8FA"/>
        </w:rPr>
        <w:t xml:space="preserve">NIL / Not Applicable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w:t>
      </w:r>
      <w:r>
        <w:rPr>
          <w:rFonts w:eastAsia="georgia" w:cs="georgia" w:ascii="georgia" w:hAnsi="georgia"/>
          <w:color w:val="000000"/>
        </w:rPr>
        <w:t xml:space="preserve">, or specific text such as </w:t>
      </w:r>
      <w:r>
        <w:rPr>
          <w:rStyle w:val="VerbatimChar"/>
          <w:rFonts w:eastAsia="menlo" w:cs="menlo" w:ascii="menlo" w:hAnsi="menlo"/>
          <w:color w:val="000000"/>
          <w:sz w:val="18"/>
          <w:shd w:val="clear" w:color="auto" w:fill="F8F8FA"/>
        </w:rPr>
        <w:t xml:space="preserve">44AB_a</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Yes — 24ADXFS7893R1ZH</w:t>
      </w:r>
      <w:r>
        <w:rPr>
          <w:rFonts w:eastAsia="georgia" w:cs="georgia" w:ascii="georgia" w:hAnsi="georgia"/>
          <w:color w:val="000000"/>
        </w:rPr>
        <w:t xml:space="preserve">. The VJD PDF instead preserves workflow markers, annexure hooks, and structured blank schedules for later completion. [file:12][file:13]</w:t>
      </w:r>
    </w:p>
    <w:p>
      <w:pPr>
        <w:spacing w:line="360" w:before="315" w:after="105" w:lineRule="auto"/>
        <w:ind w:left="-30"/>
        <w:jc w:val="left"/>
      </w:pPr>
      <w:bookmarkStart w:id="3" w:name="structure_and_length"/>
      <w:r>
        <w:rPr>
          <w:rFonts w:eastAsia="georgia" w:cs="georgia" w:ascii="georgia" w:hAnsi="georgia"/>
          <w:b/>
          <w:color w:val="000000"/>
          <w:sz w:val="24"/>
        </w:rPr>
        <w:t xml:space="preserve">Structure and length</w:t>
      </w:r>
      <w:bookmarkEnd w:id="3"/>
    </w:p>
    <w:p>
      <w:pPr>
        <w:spacing w:line="360" w:after="210" w:lineRule="auto"/>
      </w:pPr>
      <w:r>
        <w:rPr>
          <w:rFonts w:eastAsia="georgia" w:cs="georgia" w:ascii="georgia" w:hAnsi="georgia"/>
          <w:color w:val="000000"/>
        </w:rPr>
        <w:t xml:space="preserve">The CA-flow PDF extract runs to 6 pages and presents the main clauses in a compressed reporting style followed by a declaration page. The VJD PDF extract runs to 17 pages and includes extensive annexures for books, ICDS, depreciation, employee contribution, partner remuneration, related party transactions, section 43B liabilities, CENVAT/ITC, prior period items, loans and deposits, quantitative details, turnover ratios, and TDS/TCS reporting. [file:12][file:13]</w:t>
      </w:r>
    </w:p>
    <w:p>
      <w:pPr>
        <w:spacing w:line="360" w:after="210" w:lineRule="auto"/>
      </w:pPr>
      <w:r>
        <w:rPr>
          <w:rFonts w:eastAsia="georgia" w:cs="georgia" w:ascii="georgia" w:hAnsi="georgia"/>
          <w:color w:val="000000"/>
        </w:rPr>
        <w:t xml:space="preserve">The VJD PDF is therefore structurally much longer and more granular. The CA-flow PDF summarizes many clauses directly in the main body instead of pushing them into annexures. [file:12][file:13]</w:t>
      </w:r>
    </w:p>
    <w:p>
      <w:pPr>
        <w:spacing w:line="360" w:before="315" w:after="105" w:lineRule="auto"/>
        <w:ind w:left="-30"/>
        <w:jc w:val="left"/>
      </w:pPr>
      <w:bookmarkStart w:id="4" w:name="section_wise_differences"/>
      <w:r>
        <w:rPr>
          <w:rFonts w:eastAsia="georgia" w:cs="georgia" w:ascii="georgia" w:hAnsi="georgia"/>
          <w:b/>
          <w:color w:val="000000"/>
          <w:sz w:val="24"/>
        </w:rPr>
        <w:t xml:space="preserve">Section-wise differences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CA-flow PDF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VJD 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Assessee identity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Filled with SWASTIK BUILDCON, full address, PAN ADXFS7893R, GSTIN 24ADXFS7893R1ZH, Partnership, AY 2026-27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Uses entity placeholders and no real identity details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Filled as </w:t>
            </w:r>
            <w:r>
              <w:rPr>
                <w:rStyle w:val="VerbatimChar"/>
                <w:rFonts w:eastAsia="menlo" w:cs="menlo" w:ascii="menlo" w:hAnsi="menlo"/>
                <w:color w:val="000000"/>
                <w:sz w:val="18"/>
                <w:shd w:val="clear" w:color="auto" w:fill="F8F8FA"/>
              </w:rPr>
              <w:t xml:space="preserve">Relevant Clause of Section 44AB: 44AB_a</w:t>
            </w:r>
            <w:r>
              <w:rPr>
                <w:rFonts w:eastAsia="helvetica neue" w:cs="helvetica neue" w:ascii="helvetica neue" w:hAnsi="helvetica neue"/>
                <w:color w:val="000000"/>
                <w:sz w:val="17"/>
              </w:rPr>
              <w:t xml:space="preserve">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Says </w:t>
            </w:r>
            <w:r>
              <w:rPr>
                <w:rStyle w:val="VerbatimChar"/>
                <w:rFonts w:eastAsia="menlo" w:cs="menlo" w:ascii="menlo" w:hAnsi="menlo"/>
                <w:color w:val="000000"/>
                <w:sz w:val="18"/>
                <w:shd w:val="clear" w:color="auto" w:fill="F8F8FA"/>
              </w:rPr>
              <w:t xml:space="preserve">Select from drop down</w:t>
            </w:r>
            <w:r>
              <w:rPr>
                <w:rFonts w:eastAsia="helvetica neue" w:cs="helvetica neue" w:ascii="helvetica neue" w:hAnsi="helvetica neue"/>
                <w:color w:val="000000"/>
                <w:sz w:val="17"/>
              </w:rPr>
              <w:t xml:space="preserve">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8(a)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Answered </w:t>
            </w:r>
            <w:r>
              <w:rPr>
                <w:rStyle w:val="VerbatimChar"/>
                <w:rFonts w:eastAsia="menlo" w:cs="menlo" w:ascii="menlo" w:hAnsi="menlo"/>
                <w:color w:val="000000"/>
                <w:sz w:val="18"/>
                <w:shd w:val="clear" w:color="auto" w:fill="F8F8FA"/>
              </w:rPr>
              <w:t xml:space="preserve">No</w:t>
            </w:r>
            <w:r>
              <w:rPr>
                <w:rFonts w:eastAsia="helvetica neue" w:cs="helvetica neue" w:ascii="helvetica neue" w:hAnsi="helvetica neue"/>
                <w:color w:val="000000"/>
                <w:sz w:val="17"/>
              </w:rPr>
              <w:t xml:space="preserve">, option section </w:t>
            </w:r>
            <w:r>
              <w:rPr>
                <w:rStyle w:val="VerbatimChar"/>
                <w:rFonts w:eastAsia="menlo" w:cs="menlo" w:ascii="menlo" w:hAnsi="menlo"/>
                <w:color w:val="000000"/>
                <w:sz w:val="18"/>
                <w:shd w:val="clear" w:color="auto" w:fill="F8F8FA"/>
              </w:rPr>
              <w:t xml:space="preserve">NIL</w:t>
            </w:r>
            <w:r>
              <w:rPr>
                <w:rFonts w:eastAsia="helvetica neue" w:cs="helvetica neue" w:ascii="helvetica neue" w:hAnsi="helvetica neue"/>
                <w:color w:val="000000"/>
                <w:sz w:val="17"/>
              </w:rPr>
              <w:t xml:space="preserve">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Placeholder </w:t>
            </w:r>
            <w:r>
              <w:rPr>
                <w:rStyle w:val="VerbatimChar"/>
                <w:rFonts w:eastAsia="menlo" w:cs="menlo" w:ascii="menlo" w:hAnsi="menlo"/>
                <w:color w:val="000000"/>
                <w:sz w:val="18"/>
                <w:shd w:val="clear" w:color="auto" w:fill="F8F8FA"/>
              </w:rPr>
              <w:t xml:space="preserve">Select from drop down</w:t>
            </w:r>
            <w:r>
              <w:rPr>
                <w:rFonts w:eastAsia="helvetica neue" w:cs="helvetica neue" w:ascii="helvetica neue" w:hAnsi="helvetica neue"/>
                <w:color w:val="000000"/>
                <w:sz w:val="17"/>
              </w:rPr>
              <w:t xml:space="preserve">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9(a)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Contains partner/member table with one blank row marked by dashes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Refers to note placeholder </w:t>
            </w:r>
            <w:r>
              <w:rPr>
                <w:rStyle w:val="VerbatimChar"/>
                <w:rFonts w:eastAsia="menlo" w:cs="menlo" w:ascii="menlo" w:hAnsi="menlo"/>
                <w:color w:val="000000"/>
                <w:sz w:val="18"/>
                <w:shd w:val="clear" w:color="auto" w:fill="F8F8FA"/>
              </w:rPr>
              <w:t xml:space="preserve">[As Per Note_Note No.]</w:t>
            </w:r>
            <w:r>
              <w:rPr>
                <w:rFonts w:eastAsia="helvetica neue" w:cs="helvetica neue" w:ascii="helvetica neue" w:hAnsi="helvetica neue"/>
                <w:color w:val="000000"/>
                <w:sz w:val="17"/>
              </w:rPr>
              <w:t xml:space="preserve">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Clauses 9(b) to 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Mostly written as </w:t>
            </w:r>
            <w:r>
              <w:rPr>
                <w:rStyle w:val="VerbatimChar"/>
                <w:rFonts w:eastAsia="menlo" w:cs="menlo" w:ascii="menlo" w:hAnsi="menlo"/>
                <w:color w:val="000000"/>
                <w:sz w:val="18"/>
                <w:shd w:val="clear" w:color="auto" w:fill="F8F8FA"/>
              </w:rPr>
              <w:t xml:space="preserve">NIL / Not Applicable</w:t>
            </w:r>
            <w:r>
              <w:rPr>
                <w:rFonts w:eastAsia="helvetica neue" w:cs="helvetica neue" w:ascii="helvetica neue" w:hAnsi="helvetica neue"/>
                <w:color w:val="000000"/>
                <w:sz w:val="17"/>
              </w:rPr>
              <w:t xml:space="preserve"> in body text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Uses Yes/No prompts, </w:t>
            </w:r>
            <w:r>
              <w:rPr>
                <w:rStyle w:val="VerbatimChar"/>
                <w:rFonts w:eastAsia="menlo" w:cs="menlo" w:ascii="menlo" w:hAnsi="menlo"/>
                <w:color w:val="000000"/>
                <w:sz w:val="18"/>
                <w:shd w:val="clear" w:color="auto" w:fill="F8F8FA"/>
              </w:rPr>
              <w:t xml:space="preserve">ANNEXURE_No.</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Nil</w:t>
            </w:r>
            <w:r>
              <w:rPr>
                <w:rFonts w:eastAsia="helvetica neue" w:cs="helvetica neue" w:ascii="helvetica neue" w:hAnsi="helvetica neue"/>
                <w:color w:val="000000"/>
                <w:sz w:val="17"/>
              </w:rPr>
              <w:t xml:space="preserve">, and blank structured fields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Marked </w:t>
            </w:r>
            <w:r>
              <w:rPr>
                <w:rStyle w:val="VerbatimChar"/>
                <w:rFonts w:eastAsia="menlo" w:cs="menlo" w:ascii="menlo" w:hAnsi="menlo"/>
                <w:color w:val="000000"/>
                <w:sz w:val="18"/>
                <w:shd w:val="clear" w:color="auto" w:fill="F8F8FA"/>
              </w:rPr>
              <w:t xml:space="preserve">NIL / Not Applicable</w:t>
            </w:r>
            <w:r>
              <w:rPr>
                <w:rFonts w:eastAsia="helvetica neue" w:cs="helvetica neue" w:ascii="helvetica neue" w:hAnsi="helvetica neue"/>
                <w:color w:val="000000"/>
                <w:sz w:val="17"/>
              </w:rPr>
              <w:t xml:space="preserve">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Sent to depreciation annexure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20(b)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Marked </w:t>
            </w:r>
            <w:r>
              <w:rPr>
                <w:rStyle w:val="VerbatimChar"/>
                <w:rFonts w:eastAsia="menlo" w:cs="menlo" w:ascii="menlo" w:hAnsi="menlo"/>
                <w:color w:val="000000"/>
                <w:sz w:val="18"/>
                <w:shd w:val="clear" w:color="auto" w:fill="F8F8FA"/>
              </w:rPr>
              <w:t xml:space="preserve">NIL / Not Applicable</w:t>
            </w:r>
            <w:r>
              <w:rPr>
                <w:rFonts w:eastAsia="helvetica neue" w:cs="helvetica neue" w:ascii="helvetica neue" w:hAnsi="helvetica neue"/>
                <w:color w:val="000000"/>
                <w:sz w:val="17"/>
              </w:rPr>
              <w:t xml:space="preserve">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Sent to contribution annexure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Entirely summarized as </w:t>
            </w:r>
            <w:r>
              <w:rPr>
                <w:rStyle w:val="VerbatimChar"/>
                <w:rFonts w:eastAsia="menlo" w:cs="menlo" w:ascii="menlo" w:hAnsi="menlo"/>
                <w:color w:val="000000"/>
                <w:sz w:val="18"/>
                <w:shd w:val="clear" w:color="auto" w:fill="F8F8FA"/>
              </w:rPr>
              <w:t xml:space="preserve">NIL / Not Applicable</w:t>
            </w:r>
            <w:r>
              <w:rPr>
                <w:rFonts w:eastAsia="helvetica neue" w:cs="helvetica neue" w:ascii="helvetica neue" w:hAnsi="helvetica neue"/>
                <w:color w:val="000000"/>
                <w:sz w:val="17"/>
              </w:rPr>
              <w:t xml:space="preserve">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Detailed inadmissible-expense breakup and disallowance categories provided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 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Summarized as </w:t>
            </w:r>
            <w:r>
              <w:rPr>
                <w:rStyle w:val="VerbatimChar"/>
                <w:rFonts w:eastAsia="menlo" w:cs="menlo" w:ascii="menlo" w:hAnsi="menlo"/>
                <w:color w:val="000000"/>
                <w:sz w:val="18"/>
                <w:shd w:val="clear" w:color="auto" w:fill="F8F8FA"/>
              </w:rPr>
              <w:t xml:space="preserve">NIL / Not Applicable</w:t>
            </w:r>
            <w:r>
              <w:rPr>
                <w:rFonts w:eastAsia="helvetica neue" w:cs="helvetica neue" w:ascii="helvetica neue" w:hAnsi="helvetica neue"/>
                <w:color w:val="000000"/>
                <w:sz w:val="17"/>
              </w:rPr>
              <w:t xml:space="preserve">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Detailed section 43B breakup with annexure references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Clauses 27 to 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Mostly listed as </w:t>
            </w:r>
            <w:r>
              <w:rPr>
                <w:rStyle w:val="VerbatimChar"/>
                <w:rFonts w:eastAsia="menlo" w:cs="menlo" w:ascii="menlo" w:hAnsi="menlo"/>
                <w:color w:val="000000"/>
                <w:sz w:val="18"/>
                <w:shd w:val="clear" w:color="auto" w:fill="F8F8FA"/>
              </w:rPr>
              <w:t xml:space="preserve">NIL / Not Applicable</w:t>
            </w:r>
            <w:r>
              <w:rPr>
                <w:rFonts w:eastAsia="helvetica neue" w:cs="helvetica neue" w:ascii="helvetica neue" w:hAnsi="helvetica neue"/>
                <w:color w:val="000000"/>
                <w:sz w:val="17"/>
              </w:rPr>
              <w:t xml:space="preserve"> in compressed form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Detailed clause text, response prompts, yes/no logic, and annexure references [file:12]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 page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Includes declaration for examined accounts of SWASTIK BUILDCON with blanks for CA details, FRN, date, place, UDIN [file:13]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Includes audit sign-off placeholders and separate annexure pages, not the same declaration wording [file:12]</w:t>
            </w:r>
          </w:p>
        </w:tc>
      </w:tr>
    </w:tbl>
    <w:p>
      <w:pPr>
        <w:spacing w:lineRule="auto"/>
      </w:pPr>
    </w:p>
    <w:p>
      <w:pPr>
        <w:spacing w:line="360" w:before="315" w:after="105" w:lineRule="auto"/>
        <w:ind w:left="-30"/>
        <w:jc w:val="left"/>
      </w:pPr>
      <w:bookmarkStart w:id="5" w:name="clause_content_differences"/>
      <w:r>
        <w:rPr>
          <w:rFonts w:eastAsia="georgia" w:cs="georgia" w:ascii="georgia" w:hAnsi="georgia"/>
          <w:b/>
          <w:color w:val="000000"/>
          <w:sz w:val="24"/>
        </w:rPr>
        <w:t xml:space="preserve">Clause-content differences</w:t>
      </w:r>
      <w:bookmarkEnd w:id="5"/>
    </w:p>
    <w:p>
      <w:pPr>
        <w:spacing w:line="360" w:after="210" w:lineRule="auto"/>
      </w:pPr>
      <w:r>
        <w:rPr>
          <w:rFonts w:eastAsia="georgia" w:cs="georgia" w:ascii="georgia" w:hAnsi="georgia"/>
          <w:color w:val="000000"/>
        </w:rPr>
        <w:t xml:space="preserve">The CA-flow PDF explicitly states the assessee is liable to indirect tax and provides the GST registration number, while the VJD template only leaves a placeholder for GSTIN. The CA-flow PDF also includes actual assessee metadata at the top, which the VJD template does not. [file:12][file:13]</w:t>
      </w:r>
    </w:p>
    <w:p>
      <w:pPr>
        <w:spacing w:line="360" w:after="210" w:lineRule="auto"/>
      </w:pPr>
      <w:r>
        <w:rPr>
          <w:rFonts w:eastAsia="georgia" w:cs="georgia" w:ascii="georgia" w:hAnsi="georgia"/>
          <w:color w:val="000000"/>
        </w:rPr>
        <w:t xml:space="preserve">For Clauses 11 to 16, the CA-flow PDF repeatedly uses </w:t>
      </w:r>
      <w:r>
        <w:rPr>
          <w:rStyle w:val="VerbatimChar"/>
          <w:rFonts w:eastAsia="menlo" w:cs="menlo" w:ascii="menlo" w:hAnsi="menlo"/>
          <w:color w:val="000000"/>
          <w:sz w:val="18"/>
          <w:shd w:val="clear" w:color="auto" w:fill="F8F8FA"/>
        </w:rPr>
        <w:t xml:space="preserve">NIL / Not Applicable</w:t>
      </w:r>
      <w:r>
        <w:rPr>
          <w:rFonts w:eastAsia="georgia" w:cs="georgia" w:ascii="georgia" w:hAnsi="georgia"/>
          <w:color w:val="000000"/>
        </w:rPr>
        <w:t xml:space="preserve"> as the final answer. The VJD template instead asks for books prescribed, books maintained, examined records, accounting method selection, ICDS disclosures, stock valuation method, capital asset conversion details, and not-credited income items through structured prompts and annexure references. [file:12][file:13]</w:t>
      </w:r>
    </w:p>
    <w:p>
      <w:pPr>
        <w:spacing w:line="360" w:after="210" w:lineRule="auto"/>
      </w:pPr>
      <w:r>
        <w:rPr>
          <w:rFonts w:eastAsia="georgia" w:cs="georgia" w:ascii="georgia" w:hAnsi="georgia"/>
          <w:color w:val="000000"/>
        </w:rPr>
        <w:t xml:space="preserve">For Clauses 17 to 27, the CA-flow PDF again compresses the output and usually records </w:t>
      </w:r>
      <w:r>
        <w:rPr>
          <w:rStyle w:val="VerbatimChar"/>
          <w:rFonts w:eastAsia="menlo" w:cs="menlo" w:ascii="menlo" w:hAnsi="menlo"/>
          <w:color w:val="000000"/>
          <w:sz w:val="18"/>
          <w:shd w:val="clear" w:color="auto" w:fill="F8F8FA"/>
        </w:rPr>
        <w:t xml:space="preserve">NIL / Not Applicable</w:t>
      </w:r>
      <w:r>
        <w:rPr>
          <w:rFonts w:eastAsia="georgia" w:cs="georgia" w:ascii="georgia" w:hAnsi="georgia"/>
          <w:color w:val="000000"/>
        </w:rPr>
        <w:t xml:space="preserve">. The VJD template provides more detailed sub-parts, including individual data fields, tables, and disallowance categories under section 40(a), 40A(3), 40A(7), 40A(9), 14A, section 36(1)(iii), MSMED interest, related party payments, deemed profits, section 41 items, and section 43B liabilities. [file:12][file:13]</w:t>
      </w:r>
    </w:p>
    <w:p>
      <w:pPr>
        <w:spacing w:line="360" w:after="210" w:lineRule="auto"/>
      </w:pPr>
      <w:r>
        <w:rPr>
          <w:rFonts w:eastAsia="georgia" w:cs="georgia" w:ascii="georgia" w:hAnsi="georgia"/>
          <w:color w:val="000000"/>
        </w:rPr>
        <w:t xml:space="preserve">For Clauses 30 to 44, the CA-flow PDF uses short clause descriptions followed by </w:t>
      </w:r>
      <w:r>
        <w:rPr>
          <w:rStyle w:val="VerbatimChar"/>
          <w:rFonts w:eastAsia="menlo" w:cs="menlo" w:ascii="menlo" w:hAnsi="menlo"/>
          <w:color w:val="000000"/>
          <w:sz w:val="18"/>
          <w:shd w:val="clear" w:color="auto" w:fill="F8F8FA"/>
        </w:rPr>
        <w:t xml:space="preserve">NIL / Not Applicable</w:t>
      </w:r>
      <w:r>
        <w:rPr>
          <w:rFonts w:eastAsia="georgia" w:cs="georgia" w:ascii="georgia" w:hAnsi="georgia"/>
          <w:color w:val="000000"/>
        </w:rPr>
        <w:t xml:space="preserve">. The VJD template contains full question logic, yes/no branches, numeric fields, assessment-year fields, annexure references, detailed tables for brought-forward losses, deduction claims, TDS/TCS, quantitative details, buyback/dividend reporting, turnover ratios, reporting-entity disclosures, and GST expenditure breakup. [file:12][file:13]</w:t>
      </w:r>
    </w:p>
    <w:p>
      <w:pPr>
        <w:spacing w:line="360" w:before="315" w:after="105" w:lineRule="auto"/>
        <w:ind w:left="-30"/>
        <w:jc w:val="left"/>
      </w:pPr>
      <w:bookmarkStart w:id="6" w:name="annexure_differences"/>
      <w:r>
        <w:rPr>
          <w:rFonts w:eastAsia="georgia" w:cs="georgia" w:ascii="georgia" w:hAnsi="georgia"/>
          <w:b/>
          <w:color w:val="000000"/>
          <w:sz w:val="24"/>
        </w:rPr>
        <w:t xml:space="preserve">Annexure differences</w:t>
      </w:r>
      <w:bookmarkEnd w:id="6"/>
    </w:p>
    <w:p>
      <w:pPr>
        <w:spacing w:line="360" w:after="210" w:lineRule="auto"/>
      </w:pPr>
      <w:r>
        <w:rPr>
          <w:rFonts w:eastAsia="georgia" w:cs="georgia" w:ascii="georgia" w:hAnsi="georgia"/>
          <w:color w:val="000000"/>
        </w:rPr>
        <w:t xml:space="preserve">The VJD PDF contains annexures that are completely absent from the CA-flow PDF extraction, including ANX_01 List of Books, ANX_02 ICDS Disclosures, ANX_03 Depreciation, ANX_04 Contribution Details, ANX_05 Admissible Salary, ANX_06 Related Party Transactions, ANX_07 and ANX_08 section 43B liability details, ANX_09 CENVAT/ITC, ANX_10 Prior Period Details, ANX_11 to ANX_13 loan and deposit details, ANX_14 TDS, ANX_15 to ANX_17 quantitative details, and ANX_18 turnover/gross profit details. These annexures make the VJD file a working template rather than a finalized concise report. [file:12]</w:t>
      </w:r>
    </w:p>
    <w:p>
      <w:pPr>
        <w:spacing w:line="360" w:after="210" w:lineRule="auto"/>
      </w:pPr>
      <w:r>
        <w:rPr>
          <w:rFonts w:eastAsia="georgia" w:cs="georgia" w:ascii="georgia" w:hAnsi="georgia"/>
          <w:color w:val="000000"/>
        </w:rPr>
        <w:t xml:space="preserve">The CA-flow PDF does not show these annexure schedules in the extracted content and instead treats most of the corresponding clauses as not applicable. As a result, the CA-flow version is far shorter and much less granular. [file:12][file:13]</w:t>
      </w:r>
    </w:p>
    <w:p>
      <w:pPr>
        <w:spacing w:line="360" w:before="315" w:after="105" w:lineRule="auto"/>
        <w:ind w:left="-30"/>
        <w:jc w:val="left"/>
      </w:pPr>
      <w:bookmarkStart w:id="7" w:name="wording_and_formatting_differences"/>
      <w:r>
        <w:rPr>
          <w:rFonts w:eastAsia="georgia" w:cs="georgia" w:ascii="georgia" w:hAnsi="georgia"/>
          <w:b/>
          <w:color w:val="000000"/>
          <w:sz w:val="24"/>
        </w:rPr>
        <w:t xml:space="preserve">Wording and formatting differences</w:t>
      </w:r>
      <w:bookmarkEnd w:id="7"/>
    </w:p>
    <w:p>
      <w:pPr>
        <w:spacing w:line="360" w:after="210" w:lineRule="auto"/>
      </w:pPr>
      <w:r>
        <w:rPr>
          <w:rFonts w:eastAsia="georgia" w:cs="georgia" w:ascii="georgia" w:hAnsi="georgia"/>
          <w:color w:val="000000"/>
        </w:rPr>
        <w:t xml:space="preserve">The CA-flow PDF uses standardized prose such as </w:t>
      </w:r>
      <w:r>
        <w:rPr>
          <w:rStyle w:val="VerbatimChar"/>
          <w:rFonts w:eastAsia="menlo" w:cs="menlo" w:ascii="menlo" w:hAnsi="menlo"/>
          <w:color w:val="000000"/>
          <w:sz w:val="18"/>
          <w:shd w:val="clear" w:color="auto" w:fill="F8F8FA"/>
        </w:rPr>
        <w:t xml:space="preserve">NIL / Not Applicable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Yes — 24ADXFS7893R1ZH</w:t>
      </w:r>
      <w:r>
        <w:rPr>
          <w:rFonts w:eastAsia="georgia" w:cs="georgia" w:ascii="georgia" w:hAnsi="georgia"/>
          <w:color w:val="000000"/>
        </w:rPr>
        <w:t xml:space="preserve">, and it labels the opening section as </w:t>
      </w:r>
      <w:r>
        <w:rPr>
          <w:rStyle w:val="VerbatimChar"/>
          <w:rFonts w:eastAsia="menlo" w:cs="menlo" w:ascii="menlo" w:hAnsi="menlo"/>
          <w:color w:val="000000"/>
          <w:sz w:val="18"/>
          <w:shd w:val="clear" w:color="auto" w:fill="F8F8FA"/>
        </w:rPr>
        <w:t xml:space="preserve">PART A — GENERAL INFORMATION (Clauses 1-7)</w:t>
      </w:r>
      <w:r>
        <w:rPr>
          <w:rFonts w:eastAsia="georgia" w:cs="georgia" w:ascii="georgia" w:hAnsi="georgia"/>
          <w:color w:val="000000"/>
        </w:rPr>
        <w:t xml:space="preserve">. The VJD PDF uses </w:t>
      </w:r>
      <w:r>
        <w:rPr>
          <w:rStyle w:val="VerbatimChar"/>
          <w:rFonts w:eastAsia="menlo" w:cs="menlo" w:ascii="menlo" w:hAnsi="menlo"/>
          <w:color w:val="000000"/>
          <w:sz w:val="18"/>
          <w:shd w:val="clear" w:color="auto" w:fill="F8F8FA"/>
        </w:rPr>
        <w:t xml:space="preserve">PART - 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PART - B</w:t>
      </w:r>
      <w:r>
        <w:rPr>
          <w:rFonts w:eastAsia="georgia" w:cs="georgia" w:ascii="georgia" w:hAnsi="georgia"/>
          <w:color w:val="000000"/>
        </w:rPr>
        <w:t xml:space="preserve">, template commands like </w:t>
      </w:r>
      <w:r>
        <w:rPr>
          <w:rStyle w:val="VerbatimChar"/>
          <w:rFonts w:eastAsia="menlo" w:cs="menlo" w:ascii="menlo" w:hAnsi="menlo"/>
          <w:color w:val="000000"/>
          <w:sz w:val="18"/>
          <w:shd w:val="clear" w:color="auto" w:fill="F8F8FA"/>
        </w:rPr>
        <w:t xml:space="preserve">Select from drop down</w:t>
      </w:r>
      <w:r>
        <w:rPr>
          <w:rFonts w:eastAsia="georgia" w:cs="georgia" w:ascii="georgia" w:hAnsi="georgia"/>
          <w:color w:val="000000"/>
        </w:rPr>
        <w:t xml:space="preserve">, and formatting cues such as </w:t>
      </w:r>
      <w:r>
        <w:rPr>
          <w:rStyle w:val="VerbatimChar"/>
          <w:rFonts w:eastAsia="menlo" w:cs="menlo" w:ascii="menlo" w:hAnsi="menlo"/>
          <w:color w:val="000000"/>
          <w:sz w:val="18"/>
          <w:shd w:val="clear" w:color="auto" w:fill="F8F8FA"/>
        </w:rPr>
        <w:t xml:space="preserve">[Insert response / conclusion / N.A.]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ANNEXURE_No.</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AUTO</w:t>
      </w:r>
      <w:r>
        <w:rPr>
          <w:rFonts w:eastAsia="georgia" w:cs="georgia" w:ascii="georgia" w:hAnsi="georgia"/>
          <w:color w:val="000000"/>
        </w:rPr>
        <w:t xml:space="preserve">. [file:12][file:13]</w:t>
      </w:r>
    </w:p>
    <w:p>
      <w:pPr>
        <w:spacing w:line="360" w:after="210" w:lineRule="auto"/>
      </w:pPr>
      <w:r>
        <w:rPr>
          <w:rFonts w:eastAsia="georgia" w:cs="georgia" w:ascii="georgia" w:hAnsi="georgia"/>
          <w:color w:val="000000"/>
        </w:rPr>
        <w:t xml:space="preserve">The VJD PDF also contains several placeholder-driven audit sign-off lines such as </w:t>
      </w:r>
      <w:r>
        <w:rPr>
          <w:rStyle w:val="VerbatimChar"/>
          <w:rFonts w:eastAsia="menlo" w:cs="menlo" w:ascii="menlo" w:hAnsi="menlo"/>
          <w:color w:val="000000"/>
          <w:sz w:val="18"/>
          <w:shd w:val="clear" w:color="auto" w:fill="F8F8FA"/>
        </w:rPr>
        <w:t xml:space="preserve">[AUDIT FIRM_NAME]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[PLACE]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[REPORT DATE]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FRN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[Signing partner Name]</w:t>
      </w:r>
      <w:r>
        <w:rPr>
          <w:rFonts w:eastAsia="georgia" w:cs="georgia" w:ascii="georgia" w:hAnsi="georgia"/>
          <w:color w:val="000000"/>
        </w:rPr>
        <w:t xml:space="preserve">, and membership placeholders. The CA-flow PDF instead ends with a declaration naming SWASTIK BUILDCON and leaves only the chartered accountant identification lines blank. [file:12][file:13]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2026-05-04T09:13:25.606Z</dcterms:created>
  <dcterms:modified xsi:type="dcterms:W3CDTF">2026-05-04T09:13:25.606Z</dcterms:modified>
</cp:coreProperties>
</file>