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ifferences_between_two_audit_rep_29a9e5"/>
      <w:r>
        <w:rPr>
          <w:rFonts w:eastAsia="georgia" w:cs="georgia" w:ascii="georgia" w:hAnsi="georgia"/>
          <w:b/>
          <w:color w:val="000000"/>
          <w:sz w:val="39"/>
        </w:rPr>
        <w:t xml:space="preserve">Differences Between Two Audit Report PDFs</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report compares the content extracted from the two attached PDFs: a populated audit report for SWASTIK BUILDCON and a generic CA-flow template with placeholders. The first file is a filled report with entity-specific data, while the second file is a broader template containing placeholder text, empty schedules, and additional annexure pages. [file:9][file:10]</w:t>
      </w:r>
    </w:p>
    <w:p>
      <w:pPr>
        <w:spacing w:line="360" w:before="315" w:after="105" w:lineRule="auto"/>
        <w:ind w:left="-30"/>
        <w:jc w:val="left"/>
      </w:pPr>
      <w:bookmarkStart w:id="2" w:name="major_document_differences"/>
      <w:r>
        <w:rPr>
          <w:rFonts w:eastAsia="georgia" w:cs="georgia" w:ascii="georgia" w:hAnsi="georgia"/>
          <w:b/>
          <w:color w:val="000000"/>
          <w:sz w:val="24"/>
        </w:rPr>
        <w:t xml:space="preserve">Major document differences</w:t>
      </w:r>
      <w:bookmarkEnd w:id="2"/>
    </w:p>
    <w:p>
      <w:pPr>
        <w:spacing w:line="360" w:after="210" w:lineRule="auto"/>
      </w:pPr>
      <w:r>
        <w:rPr>
          <w:rFonts w:eastAsia="georgia" w:cs="georgia" w:ascii="georgia" w:hAnsi="georgia"/>
          <w:color w:val="000000"/>
        </w:rPr>
        <w:t xml:space="preserve">The populated PDF refers to </w:t>
      </w:r>
      <w:r>
        <w:rPr>
          <w:rFonts w:eastAsia="georgia" w:cs="georgia" w:ascii="georgia" w:hAnsi="georgia"/>
          <w:b/>
          <w:color w:val="000000"/>
        </w:rPr>
        <w:t xml:space="preserve">SWASTIK BUILDCON</w:t>
      </w:r>
      <w:r>
        <w:rPr>
          <w:rFonts w:eastAsia="georgia" w:cs="georgia" w:ascii="georgia" w:hAnsi="georgia"/>
          <w:color w:val="000000"/>
        </w:rPr>
        <w:t xml:space="preserve">, uses actual dates such as 31 March 2026 and 04/05/2026, and contains auditor details for V J Desai &amp; Co. LLP, FRN 113541W, partner Kunal V Desai, and Membership No. 153784. The template PDF uses placeholders such as </w:t>
      </w:r>
      <w:r>
        <w:rPr>
          <w:rStyle w:val="VerbatimChar"/>
          <w:rFonts w:eastAsia="menlo" w:cs="menlo" w:ascii="menlo" w:hAnsi="menlo"/>
          <w:color w:val="000000"/>
          <w:sz w:val="18"/>
          <w:shd w:val="clear" w:color="auto" w:fill="F8F8FA"/>
        </w:rPr>
        <w:t xml:space="preserve">[ENTITY 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 FIRM 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[FRN]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[Partner Name]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AUTO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20XX</w:t>
      </w:r>
      <w:r>
        <w:rPr>
          <w:rFonts w:eastAsia="georgia" w:cs="georgia" w:ascii="georgia" w:hAnsi="georgia"/>
          <w:color w:val="000000"/>
        </w:rPr>
        <w:t xml:space="preserve">, and blank date fields. [file:9][file:10]</w:t>
      </w:r>
    </w:p>
    <w:p>
      <w:pPr>
        <w:spacing w:line="360" w:after="210" w:lineRule="auto"/>
      </w:pPr>
      <w:r>
        <w:rPr>
          <w:rFonts w:eastAsia="georgia" w:cs="georgia" w:ascii="georgia" w:hAnsi="georgia"/>
          <w:color w:val="000000"/>
        </w:rPr>
        <w:t xml:space="preserve">The populated PDF is transaction-specific and includes actual monetary values in balance sheet and profit and loss schedules, while the template PDF shows dashes, zero placeholders, and empty rows for later completion. The template also contains many selectable alternative paragraphs by business type, while the populated PDF retains only the builder-and-developer paragraph in the accounting policy notes. [file:9][file:10]</w:t>
      </w:r>
    </w:p>
    <w:p>
      <w:pPr>
        <w:spacing w:line="360" w:before="315" w:after="105" w:lineRule="auto"/>
        <w:ind w:left="-30"/>
        <w:jc w:val="left"/>
      </w:pPr>
      <w:bookmarkStart w:id="3" w:name="page_count_and_structure"/>
      <w:r>
        <w:rPr>
          <w:rFonts w:eastAsia="georgia" w:cs="georgia" w:ascii="georgia" w:hAnsi="georgia"/>
          <w:b/>
          <w:color w:val="000000"/>
          <w:sz w:val="24"/>
        </w:rPr>
        <w:t xml:space="preserve">Page count and structure</w:t>
      </w:r>
      <w:bookmarkEnd w:id="3"/>
    </w:p>
    <w:p>
      <w:pPr>
        <w:spacing w:line="360" w:after="210" w:lineRule="auto"/>
      </w:pPr>
      <w:r>
        <w:rPr>
          <w:rFonts w:eastAsia="georgia" w:cs="georgia" w:ascii="georgia" w:hAnsi="georgia"/>
          <w:color w:val="000000"/>
        </w:rPr>
        <w:t xml:space="preserve">The populated PDF content available from extraction runs through 12 pages, including two signed letter pages and repeated extracted text for those letters. The template PDF runs through 16 pages and includes more extensive note schedules, a detailed PPE/intangible assets schedule, and two letter-format pages at the end. [file:9][file:10]</w:t>
      </w:r>
    </w:p>
    <w:p>
      <w:pPr>
        <w:spacing w:line="360" w:after="210" w:lineRule="auto"/>
      </w:pPr>
      <w:r>
        <w:rPr>
          <w:rFonts w:eastAsia="georgia" w:cs="georgia" w:ascii="georgia" w:hAnsi="georgia"/>
          <w:color w:val="000000"/>
        </w:rPr>
        <w:t xml:space="preserve">The populated PDF has condensed or simplified schedules in several places, whereas the template PDF has fully expanded note formats for borrowings, provisions, investments, loans and advances, inventories, receivables, bank balances, expenses, and fixed assets. This means the template contains more headings, more line items, and more optional classifications than the populated PDF. [file:9][file:10]</w:t>
      </w:r>
    </w:p>
    <w:p>
      <w:pPr>
        <w:spacing w:line="360" w:before="315" w:after="105" w:lineRule="auto"/>
        <w:ind w:left="-30"/>
        <w:jc w:val="left"/>
      </w:pPr>
      <w:bookmarkStart w:id="4" w:name="detailed_differences"/>
      <w:r>
        <w:rPr>
          <w:rFonts w:eastAsia="georgia" w:cs="georgia" w:ascii="georgia" w:hAnsi="georgia"/>
          <w:b/>
          <w:color w:val="000000"/>
          <w:sz w:val="24"/>
        </w:rPr>
        <w:t xml:space="preserve">Detailed differences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Populated PDF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Template 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 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SWASTIK BUILDCON [file:9]</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[ENTITY NAME]</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ENTITY_NAME</w:t>
            </w:r>
            <w:r>
              <w:rPr>
                <w:rFonts w:eastAsia="helvetica neue" w:cs="helvetica neue" w:ascii="helvetica neue" w:hAnsi="helvetica neue"/>
                <w:color w:val="000000"/>
                <w:sz w:val="17"/>
              </w:rPr>
              <w:t xml:space="preserve"> placeholder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Balance sheet heading</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Balance Sheet as at 31 March, 2026</w:t>
            </w:r>
            <w:r>
              <w:rPr>
                <w:rFonts w:eastAsia="helvetica neue" w:cs="helvetica neue" w:ascii="helvetica neue" w:hAnsi="helvetica neue"/>
                <w:color w:val="000000"/>
                <w:sz w:val="17"/>
              </w:rPr>
              <w:t xml:space="preserve"> style with actual year [file:9]</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Balance Sheet as at 31 March, _____</w:t>
            </w:r>
            <w:r>
              <w:rPr>
                <w:rFonts w:eastAsia="helvetica neue" w:cs="helvetica neue" w:ascii="helvetica neue" w:hAnsi="helvetica neue"/>
                <w:color w:val="000000"/>
                <w:sz w:val="17"/>
              </w:rPr>
              <w:t xml:space="preserve"> placeholder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Sign-off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Actual firm and partner details filled in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Placeholder firm, FRN, partner, place, and date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Note references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Actual note numbers such as 22, 23, 24, 26, 28 appear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Many fields marked </w:t>
            </w:r>
            <w:r>
              <w:rPr>
                <w:rStyle w:val="VerbatimChar"/>
                <w:rFonts w:eastAsia="menlo" w:cs="menlo" w:ascii="menlo" w:hAnsi="menlo"/>
                <w:color w:val="000000"/>
                <w:sz w:val="18"/>
                <w:shd w:val="clear" w:color="auto" w:fill="F8F8FA"/>
              </w:rPr>
              <w:t xml:space="preserve">AUTO</w:t>
            </w:r>
            <w:r>
              <w:rPr>
                <w:rFonts w:eastAsia="helvetica neue" w:cs="helvetica neue" w:ascii="helvetica neue" w:hAnsi="helvetica neue"/>
                <w:color w:val="000000"/>
                <w:sz w:val="17"/>
              </w:rPr>
              <w:t xml:space="preserve"> instead of fixed note numbers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Owners' capital account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Blank data but tied to actual entity and note structure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Multi-row template with four partner rows and previous-year row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Accounting policy note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the builder/developer paragraph is retained with filled cash and closing stock values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Includes optional paragraphs for new entity, service provider, transporter, share trading, other, contractor, and builder/developer cases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Borrowings note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Simplified table with secured/unsecured totals only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Expanded classification by bank, financial institution, others, repayable on demand, deferred liabilities, related parties, and other loans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Other current liabilities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TDS payable shown as line item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lines for income received in advance, unearned revenue, GST payable, TDS payable, employee related, tax payable, and other current liabilities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Inventories note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work-in-progress shown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Raw materials, WIP, finished goods, stock-in-trade, stores and spares, loose tools, and others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Cash and bank balances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Balance in current account and cash in hand shown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template breakup for current accounts, cash credit, FDs, cheques on hand, earmarked deposits, margin money, and other bank balances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Revenue note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sale of products shown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Sale of products, sale of services, other specific operations, other operating revenue, and other adjustments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Employee benefits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salaries, wages and bonus shown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Also includes PF/other funds, gratuity, staff welfare, and other allowances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Finance costs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Only interest on other borrowings, bank charges, and interest on partners' capital shown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Expanded breakup including bank loan interest, finance lease interest, finance charges, guarantee charges, foreign exchange loss, and other borrowing costs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Other expenses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Limited populated list of expense heads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Longer template list including stores, repairs, insurance, travelling, business promotion, commission, clearing, forex loss, investment loss, doubtful debts, and more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Fixed assets / PPE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 short PPE note page with no data entered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detailed Property, Plant and Equipment and Intangible Assets schedule covering tangible and intangible classes [file:10]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Letters / annexures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Filled letters addressed to V J Desai &amp; Co. LLP with actual address and date [file:9]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Letter templates with placeholders for entity name, address, firm name, FRN, year, and date [file:10]</w:t>
            </w:r>
          </w:p>
        </w:tc>
      </w:tr>
    </w:tbl>
    <w:p>
      <w:pPr>
        <w:spacing w:lineRule="auto"/>
      </w:pPr>
    </w:p>
    <w:p>
      <w:pPr>
        <w:spacing w:line="360" w:before="315" w:after="105" w:lineRule="auto"/>
        <w:ind w:left="-30"/>
        <w:jc w:val="left"/>
      </w:pPr>
      <w:bookmarkStart w:id="5" w:name="text_level_observations"/>
      <w:r>
        <w:rPr>
          <w:rFonts w:eastAsia="georgia" w:cs="georgia" w:ascii="georgia" w:hAnsi="georgia"/>
          <w:b/>
          <w:color w:val="000000"/>
          <w:sz w:val="24"/>
        </w:rPr>
        <w:t xml:space="preserve">Text-level observations</w:t>
      </w:r>
      <w:bookmarkEnd w:id="5"/>
    </w:p>
    <w:p>
      <w:pPr>
        <w:spacing w:line="360" w:after="210" w:lineRule="auto"/>
      </w:pPr>
      <w:r>
        <w:rPr>
          <w:rFonts w:eastAsia="georgia" w:cs="georgia" w:ascii="georgia" w:hAnsi="georgia"/>
          <w:color w:val="000000"/>
        </w:rPr>
        <w:t xml:space="preserve">The populated PDF replaces placeholder markers with actual text throughout, including entity name, accounting year, note numbers, signatory details, dates, and several values. The template PDF still contains instructional markers such as </w:t>
      </w:r>
      <w:r>
        <w:rPr>
          <w:rStyle w:val="VerbatimChar"/>
          <w:rFonts w:eastAsia="menlo" w:cs="menlo" w:ascii="menlo" w:hAnsi="menlo"/>
          <w:color w:val="000000"/>
          <w:sz w:val="18"/>
          <w:shd w:val="clear" w:color="auto" w:fill="F8F8FA"/>
        </w:rPr>
        <w:t xml:space="preserve">AUTO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[Last Note Number]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[Note No.]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[ENTITY TYPE]</w:t>
      </w:r>
      <w:r>
        <w:rPr>
          <w:rFonts w:eastAsia="georgia" w:cs="georgia" w:ascii="georgia" w:hAnsi="georgia"/>
          <w:color w:val="000000"/>
        </w:rPr>
        <w:t xml:space="preserve">, and multiple optional-use parenthetical notes. [file:9][file:10]</w:t>
      </w:r>
    </w:p>
    <w:p>
      <w:pPr>
        <w:spacing w:line="360" w:after="210" w:lineRule="auto"/>
      </w:pPr>
      <w:r>
        <w:rPr>
          <w:rFonts w:eastAsia="georgia" w:cs="georgia" w:ascii="georgia" w:hAnsi="georgia"/>
          <w:color w:val="000000"/>
        </w:rPr>
        <w:t xml:space="preserve">Several wording differences also appear. For example, the populated PDF says </w:t>
      </w:r>
      <w:r>
        <w:rPr>
          <w:rStyle w:val="VerbatimChar"/>
          <w:rFonts w:eastAsia="menlo" w:cs="menlo" w:ascii="menlo" w:hAnsi="menlo"/>
          <w:color w:val="000000"/>
          <w:sz w:val="18"/>
          <w:shd w:val="clear" w:color="auto" w:fill="F8F8FA"/>
        </w:rPr>
        <w:t xml:space="preserve">Notes No. 1 to 8 forms part of accounts for the year ended on 31st March, 2026</w:t>
      </w:r>
      <w:r>
        <w:rPr>
          <w:rFonts w:eastAsia="georgia" w:cs="georgia" w:ascii="georgia" w:hAnsi="georgia"/>
          <w:color w:val="000000"/>
        </w:rPr>
        <w:t xml:space="preserve">, while the template says </w:t>
      </w:r>
      <w:r>
        <w:rPr>
          <w:rStyle w:val="VerbatimChar"/>
          <w:rFonts w:eastAsia="menlo" w:cs="menlo" w:ascii="menlo" w:hAnsi="menlo"/>
          <w:color w:val="000000"/>
          <w:sz w:val="18"/>
          <w:shd w:val="clear" w:color="auto" w:fill="F8F8FA"/>
        </w:rPr>
        <w:t xml:space="preserve">Notes No. 1 to [Last Note Number] forms part of accounts for the year ended on 31st March, 20XX</w:t>
      </w:r>
      <w:r>
        <w:rPr>
          <w:rFonts w:eastAsia="georgia" w:cs="georgia" w:ascii="georgia" w:hAnsi="georgia"/>
          <w:color w:val="000000"/>
        </w:rPr>
        <w:t xml:space="preserve">. The populated PDF also includes filled letter subjects and dates, while the template preserves generic labels such as </w:t>
      </w:r>
      <w:r>
        <w:rPr>
          <w:rStyle w:val="VerbatimChar"/>
          <w:rFonts w:eastAsia="menlo" w:cs="menlo" w:ascii="menlo" w:hAnsi="menlo"/>
          <w:color w:val="000000"/>
          <w:sz w:val="18"/>
          <w:shd w:val="clear" w:color="auto" w:fill="F8F8FA"/>
        </w:rPr>
        <w:t xml:space="preserve">Subject : Appointment as Tax Auditors for Finacial year _______</w:t>
      </w:r>
      <w:r>
        <w:rPr>
          <w:rFonts w:eastAsia="georgia" w:cs="georgia" w:ascii="georgia" w:hAnsi="georgia"/>
          <w:color w:val="000000"/>
        </w:rPr>
        <w:t xml:space="preserve">. [file:9][file:10]</w:t>
      </w:r>
    </w:p>
    <w:p>
      <w:pPr>
        <w:spacing w:line="360" w:before="315" w:after="105" w:lineRule="auto"/>
        <w:ind w:left="-30"/>
        <w:jc w:val="left"/>
      </w:pPr>
      <w:bookmarkStart w:id="6" w:name="missing_or_additional_content_by_file"/>
      <w:r>
        <w:rPr>
          <w:rFonts w:eastAsia="georgia" w:cs="georgia" w:ascii="georgia" w:hAnsi="georgia"/>
          <w:b/>
          <w:color w:val="000000"/>
          <w:sz w:val="24"/>
        </w:rPr>
        <w:t xml:space="preserve">Missing or additional content by file</w:t>
      </w:r>
      <w:bookmarkEnd w:id="6"/>
    </w:p>
    <w:p>
      <w:pPr>
        <w:spacing w:line="360" w:after="210" w:lineRule="auto"/>
      </w:pPr>
      <w:r>
        <w:rPr>
          <w:rFonts w:eastAsia="georgia" w:cs="georgia" w:ascii="georgia" w:hAnsi="georgia"/>
          <w:color w:val="000000"/>
        </w:rPr>
        <w:t xml:space="preserve">The template PDF contains entire schedules that do not appear in the populated extraction in equivalent detail, especially detailed investments, unsecured loans and advances continuation pages, full trade receivables aging format, detailed other current assets template, expanded cost of goods sold continuation, expanded finance cost note, full other expenses schedule, and the PPE/intangible assets schedule. These sections are either absent, simplified, or materially shortened in the populated PDF. [file:9][file:10]</w:t>
      </w:r>
    </w:p>
    <w:p>
      <w:pPr>
        <w:spacing w:line="360" w:after="210" w:lineRule="auto"/>
      </w:pPr>
      <w:r>
        <w:rPr>
          <w:rFonts w:eastAsia="georgia" w:cs="georgia" w:ascii="georgia" w:hAnsi="georgia"/>
          <w:color w:val="000000"/>
        </w:rPr>
        <w:t xml:space="preserve">The populated PDF contains entity-specific final-form letters and actual note content that are not left blank, but it does not preserve the template's full menu of alternative paragraphs and extended empty note classifications. This shows that the populated report is a narrowed, selected, and completed version of the broader CA-flow template. [file:9][file:10]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2026-05-04T09:10:56.775Z</dcterms:created>
  <dcterms:modified xsi:type="dcterms:W3CDTF">2026-05-04T09:10:56.775Z</dcterms:modified>
</cp:coreProperties>
</file>