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Builder GST Module — Staff Guide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V. J. Desai &amp; Co. LLP — preparing GST returns for real-estate promoter clients</w:t>
      </w:r>
    </w:p>
    <w:p>
      <w:pPr>
        <w:pStyle w:val="Heading1"/>
        <w:spacing w:after="120" w:before="200"/>
      </w:pPr>
      <w:r>
        <w:t xml:space="preserve">1. One-time setup — do this once per project, not every month</w:t>
      </w:r>
    </w:p>
    <w:p>
      <w:pPr>
        <w:spacing w:after="100"/>
      </w:pPr>
      <w:r>
        <w:t xml:space="preserve">Everything in this section happens once when a project is onboarded, not on a monthly cadence. Open a project from Builder → Projects, or use "Project setup" inside the workspace’s Client setup panel — both open the same dialog.</w:t>
      </w:r>
    </w:p>
    <w:p>
      <w:pPr>
        <w:pStyle w:val="Heading2"/>
        <w:spacing w:after="100" w:before="200"/>
      </w:pPr>
      <w:r>
        <w:t xml:space="preserve">1.1 Project settings</w:t>
      </w:r>
    </w:p>
    <w:p>
      <w:pPr>
        <w:spacing w:after="100"/>
      </w:pPr>
      <w:r>
        <w:t xml:space="preserve">One dialog holds every project-level election: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Metro / non-metro — sets the affordable-housing carpet limit (60 sq m metro, 90 sq m elsewhere).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Grouping level (Block / Wing / Tower / Phase) — how BU permission is expected to arrive.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Carpet-area source — derived from the unit master, or entered manually for the 15%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series prefix — used on every invoice/receipt doc number for this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 cut-off date — the day this software takes over from the client’s earlier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TDR/FSI treatment — pay RCM at 18%, or withhold pending written client instruction.</w:t>
      </w:r>
    </w:p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The live RREP badge in this dialog shows the project’s current 15% classification as you type — check it before saving a manual carpet-area override.</w:t>
      </w:r>
    </w:p>
    <w:p>
      <w:pPr>
        <w:pStyle w:val="Heading2"/>
        <w:spacing w:after="100" w:before="200"/>
      </w:pPr>
      <w:r>
        <w:t xml:space="preserve">1.2 Units and opening balances</w:t>
      </w:r>
    </w:p>
    <w:p>
      <w:pPr>
        <w:spacing w:after="100"/>
      </w:pPr>
      <w:r>
        <w:t xml:space="preserve">From a project’s Units tab: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unit / Add many — single or bulk unit entry, with charge heads.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 balances — for a project onboarded mid-stream, set every unit’s starting position in one grid: one shared as-at date for the whole project, then per-unit agreement value, value already taxed, CGST/SGST paid, receipts (memo) and TDS to date. Only rows with an agreement value entered are saved — a unit left blank is not touched.</w:t>
      </w:r>
    </w:p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"Value already taxed" is the base a later BU event deducts from — enter what was offered to tax, never what was merely received.</w:t>
      </w:r>
    </w:p>
    <w:p>
      <w:pPr>
        <w:pStyle w:val="Heading2"/>
        <w:spacing w:after="100" w:before="200"/>
      </w:pPr>
      <w:r>
        <w:t xml:space="preserve">1.3 Onboarding status — units already closed before this software saw the project</w:t>
      </w:r>
    </w:p>
    <w:p>
      <w:pPr>
        <w:spacing w:after="100"/>
      </w:pPr>
      <w:r>
        <w:t xml:space="preserve">Some units may already be fully resolved under the firm’s earlier records by the time a project is onboarded here — BU received, dastavej registered, tax fully accounted for elsewhere. Flag such a unit’s "Onboarding status" as Closed before onboarding, on its Edit unit dialog.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c>
          <w:tcPr>
            <w:tcW w:type="pct" w:w="30%"/>
            <w:shd w:fill="E5E7EB" w:val="clear"/>
          </w:tcPr>
          <w:p>
            <w:r>
              <w:rPr>
                <w:b w:val="false"/>
                <w:bCs w:val="false"/>
              </w:rPr>
              <w:t xml:space="preserve">Effect</w:t>
            </w:r>
          </w:p>
        </w:tc>
        <w:tc>
          <w:tcPr>
            <w:tcW w:type="pct" w:w="70%"/>
            <w:shd w:fill="E5E7EB" w:val="clear"/>
          </w:tcPr>
          <w:p>
            <w:r>
              <w:rPr>
                <w:b w:val="false"/>
                <w:bCs w:val="false"/>
              </w:rPr>
              <w:t xml:space="preserve">What happens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BU-event sweeps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The unit is never offered as a sweep candidate, whatever the sweep’s cut-off date.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Dastavej auto-post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The deed date/value can still be recorded for the register, but no automatic differential is posted from it.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15% RREP test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Still counted — that test is about the project’s physical mix, not which units this software tracks tax for.</w:t>
            </w:r>
          </w:p>
        </w:tc>
      </w:tr>
    </w:tbl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Only set this where the firm’s own records already show the unit fully and correctly taxed. Flipping it back to Live is the fix if that assumption turns out wrong.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2. Monthly workflow — Bookings &amp; Receipts</w:t>
      </w:r>
    </w:p>
    <w:p>
      <w:pPr>
        <w:spacing w:after="100"/>
      </w:pPr>
      <w:r>
        <w:t xml:space="preserve">The Ledger tab (Bookings &amp; Receipts) is where the month’s actual work happens: booking units, recording collections, raising invoices. Two view modes sit at the top: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"Up to [period]" — the cumulative position as of a period-end, one row per unit.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"[period] register" — every receipt and invoice dated in that month, across all units, in the order a bank statement or Tally would show them.</w:t>
      </w:r>
    </w:p>
    <w:p>
      <w:pPr>
        <w:pStyle w:val="Heading2"/>
        <w:spacing w:after="100" w:before="200"/>
      </w:pPr>
      <w:r>
        <w:t xml:space="preserve">2.1 Booking and receipts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 unit — capture the member(s) and ownership split for a newly sold unit.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receipt (+ icon) — a single collection, with rate/tax derived live from the unit.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receipts (bulk, per project) — one grid for the whole month’s collection run: set date and instrument once, then type down the amount column. Enter moves to the next unit; pasting a copied column fills it straight down. A jointly-held unit can be split by member. Rows are sectioned Block/Phase-wise.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receipts (client-wide) — the "Record receipts" button on the workspace toolbar (visible the moment a client is selected, before picking a project) opens the same grid across EVERY project the client has at once, sectioned project → block. Use this when one bank statement spans several of the client’s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 balances (client-wide) — the toolbar’s "Opening balances" button does the same for onboarding: every unit across every project of the client in one grid, block by block, one shared as-at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Raise invoice (document icon) — a milestone invoice, which absorbs open advances into Table 11B automatically.</w:t>
      </w:r>
    </w:p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Agreement value changes: staff may record a receipt that takes a unit beyond its recorded value or past ₹45 lakh — it is never blocked. But update the unit’s value in Unit Master FIRST (the dialog reminds you, with an "Update unit value now" shortcut), because the ₹45 lakh test and rate are read from the master. A residential unit crossing ₹45 lakh is re-rated to 7.5% on everything already taxed, in the month it crosses — the Bookings page shows a "Re-rate now" banner for exactly those units.</w:t>
      </w:r>
    </w:p>
    <w:p>
      <w:pPr>
        <w:pStyle w:val="Heading2"/>
        <w:spacing w:after="100" w:before="200"/>
      </w:pPr>
      <w:r>
        <w:t xml:space="preserve">2.2 The row menu (⋯) — reorganised by how often you’ll actually use it</w:t>
      </w:r>
    </w:p>
    <w:p>
      <w:pPr>
        <w:spacing w:after="100"/>
      </w:pPr>
      <w:r>
        <w:t xml:space="preserve">Every item deep-links straight into that unit’s own dialog — none of them drop you into a blank, unscoped page you have to search again.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E5E7EB" w:val="clear"/>
          </w:tcPr>
          <w:p>
            <w:r>
              <w:rPr>
                <w:b w:val="false"/>
                <w:bCs w:val="false"/>
              </w:rPr>
              <w:t xml:space="preserve">Group</w:t>
            </w:r>
          </w:p>
        </w:tc>
        <w:tc>
          <w:tcPr>
            <w:tcW w:type="pct" w:w="38%"/>
            <w:shd w:fill="E5E7EB" w:val="clear"/>
          </w:tcPr>
          <w:p>
            <w:r>
              <w:rPr>
                <w:b w:val="false"/>
                <w:bCs w:val="false"/>
              </w:rPr>
              <w:t xml:space="preserve">Items</w:t>
            </w:r>
          </w:p>
        </w:tc>
        <w:tc>
          <w:tcPr>
            <w:tcW w:type="pct" w:w="40%"/>
            <w:shd w:fill="E5E7EB" w:val="clear"/>
          </w:tcPr>
          <w:p>
            <w:r>
              <w:rPr>
                <w:b w:val="false"/>
                <w:bCs w:val="false"/>
              </w:rPr>
              <w:t xml:space="preserve">What it opens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</w:rPr>
              <w:t xml:space="preserve">This month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</w:rPr>
              <w:t xml:space="preserve">Record dastavej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The Dastavej Reconciliation dialog for this unit, pre-filled.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</w:rPr>
              <w:t xml:space="preserve">Rare — occasional corrections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</w:rPr>
              <w:t xml:space="preserve">Credit note, Re-rate (Table 10), Bounce reversal, Convert to another unit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That correction’s own dialog, with the unit already selected (re-rate opens its schedule only if the unit is actually due for one).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</w:rPr>
              <w:t xml:space="preserve">Setup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</w:rPr>
              <w:t xml:space="preserve">Edit unit &amp; charge heads, Opening balance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The unit’s edit / opening-balance dialog directly.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3. BU Working &amp; Dastavej Reconciliation</w:t>
      </w:r>
    </w:p>
    <w:p>
      <w:pPr>
        <w:pStyle w:val="Heading2"/>
        <w:spacing w:after="100" w:before="200"/>
      </w:pPr>
      <w:r>
        <w:t xml:space="preserve">3.1 The cut-off and the differential</w:t>
      </w:r>
    </w:p>
    <w:p>
      <w:pPr>
        <w:spacing w:after="100"/>
      </w:pPr>
      <w:r>
        <w:t xml:space="preserve">A unit’s cut-off is the earlier of its block’s BU date and its own dastavej (registered sale deed) date. For every unit booked before that cut-off, the entire remaining balance becomes taxable in the cut-off month — received or not. A unit unbooked at cut-off falls under Schedule III and is omitted from the returns entirely.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BU event (BU Working tab) — choose full project or selected units, the BU date, and the posting basis.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— runs the differential for every unit in scope and shows the working before anything is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— writes the BU_DIFFERENTIAL invoices, closes out open advances in Table 11B, and subsumes any receipt dated inside the BU month.</w:t>
      </w:r>
    </w:p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Each posted event carries its own s.34 credit-note deadline (30 November following that financial year) — GST gives no bad-debt relief on an uncollected balance taxed at BU.</w:t>
      </w:r>
    </w:p>
    <w:p>
      <w:pPr>
        <w:pStyle w:val="Heading2"/>
        <w:spacing w:after="100" w:before="200"/>
      </w:pPr>
      <w:r>
        <w:t xml:space="preserve">3.2 Dastavej Reconciliation</w:t>
      </w:r>
    </w:p>
    <w:p>
      <w:pPr>
        <w:spacing w:after="100"/>
      </w:pPr>
      <w:r>
        <w:t xml:space="preserve">Registration itself usually creates no fresh GST — by the time the deed is executed the unit is normally already fully taxed through ordinary advances. This page exists to catch the exception: a unit registered early, before its advances catch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Saving a dastavej date/value runs the same differential math automatically, dated at the deed — nothing to prepare or post by 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fully taxed → nothing happens, silently. Unbooked at that date → Schedule III, recorded. A real shortfall → posted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unit flagged "Closed before onboarding" (§1.3) records the deed for the register only — no automatic posting follows.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4. Corrections (rare events) &amp; TDR/FSI</w:t>
      </w:r>
    </w:p>
    <w:p>
      <w:pPr>
        <w:spacing w:after="100"/>
      </w:pPr>
      <w:r>
        <w:t xml:space="preserve">One governing rule for everything in this section: a change in the flow of money is not a change in the supply. GST adjusts only when the consideration or the supply itself changes.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shd w:fill="E5E7EB" w:val="clear"/>
          </w:tcPr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tcPr>
            <w:tcW w:type="pct" w:w="32%"/>
            <w:shd w:fill="E5E7EB" w:val="clear"/>
          </w:tcPr>
          <w:p>
            <w:r>
              <w:rPr>
                <w:b w:val="false"/>
                <w:bCs w:val="false"/>
              </w:rPr>
              <w:t xml:space="preserve">When to use it</w:t>
            </w:r>
          </w:p>
        </w:tc>
        <w:tc>
          <w:tcPr>
            <w:tcW w:type="pct" w:w="50%"/>
            <w:shd w:fill="E5E7EB" w:val="clear"/>
          </w:tcPr>
          <w:p>
            <w:r>
              <w:rPr>
                <w:b w:val="false"/>
                <w:bCs w:val="false"/>
              </w:rPr>
              <w:t xml:space="preserve">Position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Credit note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</w:rPr>
              <w:t xml:space="preserve">Cancellation, or the deed value nets below what was taxed.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s.34 window: 30 Nov following the financial year of the original document. Past it, recorded for the trail but excluded from the return — the buyer’s own route is a refund under s.54.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Re-rate (Table 10)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</w:rPr>
              <w:t xml:space="preserve">A unit taxed at 1.5% later crosses ₹45 lakh.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The concession never applied — amend the earlier B2CS entries in Table 10, with interest u/s 50 scheduled period-wise. No downgrade if the value later falls back.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Bounce reversal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</w:rPr>
              <w:t xml:space="preserve">A cheque/transfer bounces after the return is filed.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Reverse on an un-invoiced advance, offsetting later months at the same rate. On an already-invoiced amount, the firm’s position is no adjustment — GST has no bad-debt relief.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Convert to another unit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</w:rPr>
              <w:t xml:space="preserve">A member switches to a different unit.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 cancellation plus a fresh booking — the value already taxed carries across and is re-taxed at the new unit’s rate.</w:t>
            </w:r>
          </w:p>
        </w:tc>
      </w:tr>
    </w:tbl>
    <w:p>
      <w:pPr>
        <w:pStyle w:val="Heading2"/>
        <w:spacing w:after="100" w:before="200"/>
      </w:pPr>
      <w:r>
        <w:t xml:space="preserve">4.1 TDR / FSI reverse charge</w:t>
      </w:r>
    </w:p>
    <w:p>
      <w:pPr>
        <w:spacing w:after="100"/>
      </w:pPr>
      <w:r>
        <w:t xml:space="preserve">Time of supply is the BU date, so this working hangs off a posted BU event. The residential leg is capped at 1%/5% of value, summed per unit; the commercial leg has no cap or exemption, booked or not. This liability is paid entirely in cash through 3B Table 3.1(d) — the credit is blocked, so it never reaches GSTR-1.</w:t>
      </w:r>
    </w:p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A client instructing the firm not to discharge this liability needs the consent gate cleared before the period files: request out from gst@vjdesai.com, the client’s written reply attached, and GST Manager approval — in that order. Filing Status will not allow Filed until all three exist.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5. Partial ITC, the cash working paper, and generating the returns</w:t>
      </w:r>
    </w:p>
    <w:p>
      <w:pPr>
        <w:pStyle w:val="Heading2"/>
        <w:spacing w:after="100" w:before="200"/>
      </w:pPr>
      <w:r>
        <w:t xml:space="preserve">5.1 Partial ITC — when it applies</w:t>
      </w:r>
    </w:p>
    <w:p>
      <w:pPr>
        <w:spacing w:after="100"/>
      </w:pPr>
      <w:r>
        <w:t xml:space="preserve">Where a project’s commercial carpet area exceeds 15% of total (a "REP other than an RREP"), commercial units are taxed at 18% with proportionate credit while residential stays on its usual no-ITC concessional rate. Input tax then has to be apportioned by carpet area under Rule 42/43 — the residential share of ITC is reversed every month; there is no annual true-up.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ITC Working page, mark the client Partial ITC and sync carpet areas from the project master with "Use project figures" — a deliberate, one-click action, since the split drives a real reversal.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4(B)(1) — the residential-attributable reversal — and Net ITC 4(C) are then calculated automatically from Total 4A and the carpet-area ratio.</w:t>
      </w:r>
    </w:p>
    <w:p>
      <w:pPr>
        <w:pStyle w:val="Heading2"/>
        <w:spacing w:after="100" w:before="200"/>
      </w:pPr>
      <w:r>
        <w:t xml:space="preserve">5.2 The ITC &amp; cash working paper (Builder Returns)</w:t>
      </w:r>
    </w:p>
    <w:p>
      <w:pPr>
        <w:spacing w:after="100"/>
      </w:pPr>
      <w:r>
        <w:t xml:space="preserve">This is important to understand correctly: the GST portal itself does not segregate input tax credit by supply type. It nets all available credit against the aggregate CGST/SGST liability, whatever generated either side — nothing in GST law would stop leftover commercial-eligible credit from being applied against a residential liability on the actual return.</w:t>
      </w:r>
    </w:p>
    <w:p>
      <w:pPr>
        <w:spacing w:after="100"/>
      </w:pPr>
      <w:r>
        <w:t xml:space="preserve">The firm elects not to do that anyway, as a matter of internal discipline. The working paper on the Builder Returns page lays this policy out for the period: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 output tax sets off against the net ITC available (4C)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Residential output tax is paid in cash, in full, every period — even where surplus credit remains.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credit left over after commercial is fully covered carries forward for a future month’s commercial liability — it is never applied against residential.</w:t>
      </w:r>
    </w:p>
    <w:p>
      <w:pPr>
        <w:shd w:fill="F3F4F6" w:val="clear"/>
        <w:spacing w:after="120" w:before="60"/>
      </w:pPr>
      <w:r>
        <w:rPr>
          <w:i/>
          <w:iCs/>
          <w:color w:val="555555"/>
        </w:rPr>
        <w:t xml:space="preserve">This table only suggests the split and writes nothing to ITC Working, GSTR-3B or any ledger. It appears automatically once a period has a saved ITC summary for a Partial-ITC client.</w:t>
      </w:r>
    </w:p>
    <w:p>
      <w:pPr>
        <w:pStyle w:val="Heading2"/>
        <w:spacing w:after="100" w:before="200"/>
      </w:pPr>
      <w:r>
        <w:t xml:space="preserve">5.3 Generating the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Builder Returns — review the period’s workpaper (Table 3.1(a), Table 7, Table 11A/11B, the ITC &amp; cash working paper), then Generate to write the figures into GSTR-1.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GSTR-1 Data — the generated period can be reviewed and uploaded to the portal from here like any other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GSTR-3B — Table 4 (ITC) is pulled from ITC Working; builder TDR/FSI reaches Table 3.1(d) independently. The net-payable figure shown is indicative only — the actual set-off and cash payment happen on the portal.</w:t>
      </w:r>
    </w:p>
    <w:p>
      <w:pPr>
        <w:spacing w:before="300"/>
        <w:jc w:val="left"/>
      </w:pPr>
      <w:r>
        <w:rPr>
          <w:i/>
          <w:iCs/>
          <w:color w:val="777777"/>
          <w:sz w:val="20"/>
          <w:szCs w:val="20"/>
        </w:rPr>
        <w:t xml:space="preserve">This guide covers the workflow as of the module’s current build. See docs/BUILDER_GST_POSITIONS.md in the repository for the firm’s full, sourced GST positions behind every figure here.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2026-08-04T06:20:00.247Z</dcterms:created>
  <dcterms:modified xsi:type="dcterms:W3CDTF">2026-08-04T06:20:00.247Z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