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77B4"/>
          <w:sz w:val="48"/>
        </w:rPr>
        <w:t>Amazon (AMZN) Stock Market Analysis</w:t>
      </w:r>
    </w:p>
    <w:p>
      <w:pPr>
        <w:jc w:val="center"/>
      </w:pPr>
      <w:r>
        <w:rPr>
          <w:i/>
          <w:color w:val="57606A"/>
          <w:sz w:val="26"/>
        </w:rPr>
        <w:t>Data Cleaning · Technical Analysis · Machine Learning · Trading Signals</w:t>
      </w:r>
    </w:p>
    <w:p/>
    <w:p>
      <w:pPr>
        <w:jc w:val="center"/>
      </w:pPr>
      <w:r>
        <w:rPr>
          <w:sz w:val="22"/>
        </w:rPr>
        <w:t>Report Generated: September 24, 2026</w:t>
      </w:r>
    </w:p>
    <w:p/>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F77B4"/>
            <w:vAlign w:val="center"/>
          </w:tcPr>
          <w:p>
            <w:pPr>
              <w:jc w:val="center"/>
            </w:pPr>
            <w:r>
              <w:rPr>
                <w:b/>
                <w:color w:val="FFFFFF"/>
                <w:sz w:val="19"/>
              </w:rPr>
              <w:t>Metric</w:t>
            </w:r>
          </w:p>
        </w:tc>
        <w:tc>
          <w:tcPr>
            <w:tcW w:type="dxa" w:w="5040"/>
            <w:shd w:val="clear" w:color="auto" w:fill="1F77B4"/>
            <w:vAlign w:val="center"/>
          </w:tcPr>
          <w:p>
            <w:pPr>
              <w:jc w:val="center"/>
            </w:pPr>
            <w:r>
              <w:rPr>
                <w:b/>
                <w:color w:val="FFFFFF"/>
                <w:sz w:val="19"/>
              </w:rPr>
              <w:t>Value</w:t>
            </w:r>
          </w:p>
        </w:tc>
      </w:tr>
      <w:tr>
        <w:tc>
          <w:tcPr>
            <w:tcW w:type="dxa" w:w="3600"/>
            <w:shd w:val="clear" w:color="auto" w:fill="EBF3FB"/>
          </w:tcPr>
          <w:p>
            <w:pPr>
              <w:jc w:val="center"/>
            </w:pPr>
            <w:r>
              <w:rPr>
                <w:sz w:val="19"/>
              </w:rPr>
              <w:t>Dataset</w:t>
            </w:r>
          </w:p>
        </w:tc>
        <w:tc>
          <w:tcPr>
            <w:tcW w:type="dxa" w:w="5040"/>
            <w:shd w:val="clear" w:color="auto" w:fill="EBF3FB"/>
          </w:tcPr>
          <w:p>
            <w:pPr>
              <w:jc w:val="center"/>
            </w:pPr>
            <w:r>
              <w:rPr>
                <w:sz w:val="19"/>
              </w:rPr>
              <w:t>AMAZON_daily.csv</w:t>
            </w:r>
          </w:p>
        </w:tc>
      </w:tr>
      <w:tr>
        <w:tc>
          <w:tcPr>
            <w:tcW w:type="dxa" w:w="3600"/>
            <w:shd w:val="clear" w:color="auto" w:fill="FFFFFF"/>
          </w:tcPr>
          <w:p>
            <w:pPr>
              <w:jc w:val="center"/>
            </w:pPr>
            <w:r>
              <w:rPr>
                <w:sz w:val="19"/>
              </w:rPr>
              <w:t>Date Range</w:t>
            </w:r>
          </w:p>
        </w:tc>
        <w:tc>
          <w:tcPr>
            <w:tcW w:type="dxa" w:w="5040"/>
            <w:shd w:val="clear" w:color="auto" w:fill="FFFFFF"/>
          </w:tcPr>
          <w:p>
            <w:pPr>
              <w:jc w:val="center"/>
            </w:pPr>
            <w:r>
              <w:rPr>
                <w:sz w:val="19"/>
              </w:rPr>
              <w:t>1997-05-15 → 2026-09-22</w:t>
            </w:r>
          </w:p>
        </w:tc>
      </w:tr>
      <w:tr>
        <w:tc>
          <w:tcPr>
            <w:tcW w:type="dxa" w:w="3600"/>
            <w:shd w:val="clear" w:color="auto" w:fill="EBF3FB"/>
          </w:tcPr>
          <w:p>
            <w:pPr>
              <w:jc w:val="center"/>
            </w:pPr>
            <w:r>
              <w:rPr>
                <w:sz w:val="19"/>
              </w:rPr>
              <w:t>Total Trading Days</w:t>
            </w:r>
          </w:p>
        </w:tc>
        <w:tc>
          <w:tcPr>
            <w:tcW w:type="dxa" w:w="5040"/>
            <w:shd w:val="clear" w:color="auto" w:fill="EBF3FB"/>
          </w:tcPr>
          <w:p>
            <w:pPr>
              <w:jc w:val="center"/>
            </w:pPr>
            <w:r>
              <w:rPr>
                <w:sz w:val="19"/>
              </w:rPr>
              <w:t>7,384</w:t>
            </w:r>
          </w:p>
        </w:tc>
      </w:tr>
      <w:tr>
        <w:tc>
          <w:tcPr>
            <w:tcW w:type="dxa" w:w="3600"/>
            <w:shd w:val="clear" w:color="auto" w:fill="FFFFFF"/>
          </w:tcPr>
          <w:p>
            <w:pPr>
              <w:jc w:val="center"/>
            </w:pPr>
            <w:r>
              <w:rPr>
                <w:sz w:val="19"/>
              </w:rPr>
              <w:t>Latest Close Price</w:t>
            </w:r>
          </w:p>
        </w:tc>
        <w:tc>
          <w:tcPr>
            <w:tcW w:type="dxa" w:w="5040"/>
            <w:shd w:val="clear" w:color="auto" w:fill="FFFFFF"/>
          </w:tcPr>
          <w:p>
            <w:pPr>
              <w:jc w:val="center"/>
            </w:pPr>
            <w:r>
              <w:rPr>
                <w:sz w:val="19"/>
              </w:rPr>
              <w:t>$258.45</w:t>
            </w:r>
          </w:p>
        </w:tc>
      </w:tr>
      <w:tr>
        <w:tc>
          <w:tcPr>
            <w:tcW w:type="dxa" w:w="3600"/>
            <w:shd w:val="clear" w:color="auto" w:fill="EBF3FB"/>
          </w:tcPr>
          <w:p>
            <w:pPr>
              <w:jc w:val="center"/>
            </w:pPr>
            <w:r>
              <w:rPr>
                <w:sz w:val="19"/>
              </w:rPr>
              <w:t>52-Week Change</w:t>
            </w:r>
          </w:p>
        </w:tc>
        <w:tc>
          <w:tcPr>
            <w:tcW w:type="dxa" w:w="5040"/>
            <w:shd w:val="clear" w:color="auto" w:fill="EBF3FB"/>
          </w:tcPr>
          <w:p>
            <w:pPr>
              <w:jc w:val="center"/>
            </w:pPr>
            <w:r>
              <w:rPr>
                <w:sz w:val="19"/>
              </w:rPr>
              <w:t>+11.65%</w:t>
            </w:r>
          </w:p>
        </w:tc>
      </w:tr>
      <w:tr>
        <w:tc>
          <w:tcPr>
            <w:tcW w:type="dxa" w:w="3600"/>
            <w:shd w:val="clear" w:color="auto" w:fill="FFFFFF"/>
          </w:tcPr>
          <w:p>
            <w:pPr>
              <w:jc w:val="center"/>
            </w:pPr>
            <w:r>
              <w:rPr>
                <w:sz w:val="19"/>
              </w:rPr>
              <w:t>Current RSI (14)</w:t>
            </w:r>
          </w:p>
        </w:tc>
        <w:tc>
          <w:tcPr>
            <w:tcW w:type="dxa" w:w="5040"/>
            <w:shd w:val="clear" w:color="auto" w:fill="FFFFFF"/>
          </w:tcPr>
          <w:p>
            <w:pPr>
              <w:jc w:val="center"/>
            </w:pPr>
            <w:r>
              <w:rPr>
                <w:sz w:val="19"/>
              </w:rPr>
              <w:t>54.5</w:t>
            </w:r>
          </w:p>
        </w:tc>
      </w:tr>
      <w:tr>
        <w:tc>
          <w:tcPr>
            <w:tcW w:type="dxa" w:w="3600"/>
            <w:shd w:val="clear" w:color="auto" w:fill="EBF3FB"/>
          </w:tcPr>
          <w:p>
            <w:pPr>
              <w:jc w:val="center"/>
            </w:pPr>
            <w:r>
              <w:rPr>
                <w:sz w:val="19"/>
              </w:rPr>
              <w:t>20-Day Volatility</w:t>
            </w:r>
          </w:p>
        </w:tc>
        <w:tc>
          <w:tcPr>
            <w:tcW w:type="dxa" w:w="5040"/>
            <w:shd w:val="clear" w:color="auto" w:fill="EBF3FB"/>
          </w:tcPr>
          <w:p>
            <w:pPr>
              <w:jc w:val="center"/>
            </w:pPr>
            <w:r>
              <w:rPr>
                <w:sz w:val="19"/>
              </w:rPr>
              <w:t>26.6%</w:t>
            </w:r>
          </w:p>
        </w:tc>
      </w:tr>
      <w:tr>
        <w:tc>
          <w:tcPr>
            <w:tcW w:type="dxa" w:w="3600"/>
            <w:shd w:val="clear" w:color="auto" w:fill="FFFFFF"/>
          </w:tcPr>
          <w:p>
            <w:pPr>
              <w:jc w:val="center"/>
            </w:pPr>
            <w:r>
              <w:rPr>
                <w:sz w:val="19"/>
              </w:rPr>
              <w:t>Current Signal</w:t>
            </w:r>
          </w:p>
        </w:tc>
        <w:tc>
          <w:tcPr>
            <w:tcW w:type="dxa" w:w="5040"/>
            <w:shd w:val="clear" w:color="auto" w:fill="FFFFFF"/>
          </w:tcPr>
          <w:p>
            <w:pPr>
              <w:jc w:val="center"/>
            </w:pPr>
            <w:r>
              <w:rPr>
                <w:sz w:val="19"/>
              </w:rPr>
              <w:t>HOLD</w:t>
            </w:r>
          </w:p>
        </w:tc>
      </w:tr>
      <w:tr>
        <w:tc>
          <w:tcPr>
            <w:tcW w:type="dxa" w:w="3600"/>
            <w:shd w:val="clear" w:color="auto" w:fill="EBF3FB"/>
          </w:tcPr>
          <w:p>
            <w:pPr>
              <w:jc w:val="center"/>
            </w:pPr>
            <w:r>
              <w:rPr>
                <w:sz w:val="19"/>
              </w:rPr>
              <w:t>Current Regime</w:t>
            </w:r>
          </w:p>
        </w:tc>
        <w:tc>
          <w:tcPr>
            <w:tcW w:type="dxa" w:w="5040"/>
            <w:shd w:val="clear" w:color="auto" w:fill="EBF3FB"/>
          </w:tcPr>
          <w:p>
            <w:pPr>
              <w:jc w:val="center"/>
            </w:pPr>
            <w:r>
              <w:rPr>
                <w:sz w:val="19"/>
              </w:rPr>
              <w:t>Sideways / Low Volatility</w:t>
            </w:r>
          </w:p>
        </w:tc>
      </w:tr>
      <w:tr>
        <w:tc>
          <w:tcPr>
            <w:tcW w:type="dxa" w:w="3600"/>
            <w:shd w:val="clear" w:color="auto" w:fill="FFFFFF"/>
          </w:tcPr>
          <w:p>
            <w:pPr>
              <w:jc w:val="center"/>
            </w:pPr>
            <w:r>
              <w:rPr>
                <w:sz w:val="19"/>
              </w:rPr>
              <w:t>Anomalies Detected</w:t>
            </w:r>
          </w:p>
        </w:tc>
        <w:tc>
          <w:tcPr>
            <w:tcW w:type="dxa" w:w="5040"/>
            <w:shd w:val="clear" w:color="auto" w:fill="FFFFFF"/>
          </w:tcPr>
          <w:p>
            <w:pPr>
              <w:jc w:val="center"/>
            </w:pPr>
            <w:r>
              <w:rPr>
                <w:sz w:val="19"/>
              </w:rPr>
              <w:t>221</w:t>
            </w:r>
          </w:p>
        </w:tc>
      </w:tr>
    </w:tbl>
    <w:p>
      <w:r>
        <w:br w:type="page"/>
      </w:r>
    </w:p>
    <w:p>
      <w:pPr>
        <w:pStyle w:val="Heading1"/>
        <w:spacing w:before="240" w:after="80"/>
      </w:pPr>
      <w:r>
        <w:rPr>
          <w:color w:val="1F77B4"/>
        </w:rPr>
        <w:t>Table of Contents</w:t>
      </w:r>
    </w:p>
    <w:p>
      <w:pPr>
        <w:pStyle w:val="ListBullet"/>
      </w:pPr>
      <w:r>
        <w:rPr>
          <w:b/>
          <w:sz w:val="21"/>
        </w:rPr>
        <w:t xml:space="preserve">1.  </w:t>
      </w:r>
      <w:r>
        <w:rPr>
          <w:sz w:val="21"/>
        </w:rPr>
        <w:t>Project Overview &amp; Objectives</w:t>
      </w:r>
    </w:p>
    <w:p>
      <w:pPr>
        <w:pStyle w:val="ListBullet"/>
      </w:pPr>
      <w:r>
        <w:rPr>
          <w:b/>
          <w:sz w:val="21"/>
        </w:rPr>
        <w:t xml:space="preserve">2.  </w:t>
      </w:r>
      <w:r>
        <w:rPr>
          <w:sz w:val="21"/>
        </w:rPr>
        <w:t>Dataset Description &amp; Data Cleaning</w:t>
      </w:r>
    </w:p>
    <w:p>
      <w:pPr>
        <w:pStyle w:val="ListBullet"/>
      </w:pPr>
      <w:r>
        <w:rPr>
          <w:b/>
          <w:sz w:val="21"/>
        </w:rPr>
        <w:t xml:space="preserve">3.  </w:t>
      </w:r>
      <w:r>
        <w:rPr>
          <w:sz w:val="21"/>
        </w:rPr>
        <w:t>Exploratory Data Analysis</w:t>
      </w:r>
    </w:p>
    <w:p>
      <w:pPr>
        <w:pStyle w:val="ListBullet"/>
      </w:pPr>
      <w:r>
        <w:rPr>
          <w:b/>
          <w:sz w:val="21"/>
        </w:rPr>
        <w:t xml:space="preserve">4.  </w:t>
      </w:r>
      <w:r>
        <w:rPr>
          <w:sz w:val="21"/>
        </w:rPr>
        <w:t>Technical Indicators</w:t>
      </w:r>
    </w:p>
    <w:p>
      <w:pPr>
        <w:pStyle w:val="ListBullet"/>
      </w:pPr>
      <w:r>
        <w:rPr>
          <w:b/>
          <w:sz w:val="21"/>
        </w:rPr>
        <w:t xml:space="preserve">5.  </w:t>
      </w:r>
      <w:r>
        <w:rPr>
          <w:sz w:val="21"/>
        </w:rPr>
        <w:t>Machine Learning Models</w:t>
      </w:r>
    </w:p>
    <w:p>
      <w:pPr>
        <w:pStyle w:val="ListBullet"/>
      </w:pPr>
      <w:r>
        <w:rPr>
          <w:b/>
          <w:sz w:val="21"/>
        </w:rPr>
        <w:t xml:space="preserve">6.  </w:t>
      </w:r>
      <w:r>
        <w:rPr>
          <w:sz w:val="21"/>
        </w:rPr>
        <w:t>Market Segmentation (K-Means)</w:t>
      </w:r>
    </w:p>
    <w:p>
      <w:pPr>
        <w:pStyle w:val="ListBullet"/>
      </w:pPr>
      <w:r>
        <w:rPr>
          <w:b/>
          <w:sz w:val="21"/>
        </w:rPr>
        <w:t xml:space="preserve">7.  </w:t>
      </w:r>
      <w:r>
        <w:rPr>
          <w:sz w:val="21"/>
        </w:rPr>
        <w:t>Anomaly Detection (Isolation Forest)</w:t>
      </w:r>
    </w:p>
    <w:p>
      <w:pPr>
        <w:pStyle w:val="ListBullet"/>
      </w:pPr>
      <w:r>
        <w:rPr>
          <w:b/>
          <w:sz w:val="21"/>
        </w:rPr>
        <w:t xml:space="preserve">8.  </w:t>
      </w:r>
      <w:r>
        <w:rPr>
          <w:sz w:val="21"/>
        </w:rPr>
        <w:t>Trading Signals &amp; Strategy</w:t>
      </w:r>
    </w:p>
    <w:p>
      <w:pPr>
        <w:pStyle w:val="ListBullet"/>
      </w:pPr>
      <w:r>
        <w:rPr>
          <w:b/>
          <w:sz w:val="21"/>
        </w:rPr>
        <w:t xml:space="preserve">9.  </w:t>
      </w:r>
      <w:r>
        <w:rPr>
          <w:sz w:val="21"/>
        </w:rPr>
        <w:t>Model Performance Summary</w:t>
      </w:r>
    </w:p>
    <w:p>
      <w:pPr>
        <w:pStyle w:val="ListBullet"/>
      </w:pPr>
      <w:r>
        <w:rPr>
          <w:b/>
          <w:sz w:val="21"/>
        </w:rPr>
        <w:t xml:space="preserve">10.  </w:t>
      </w:r>
      <w:r>
        <w:rPr>
          <w:sz w:val="21"/>
        </w:rPr>
        <w:t>Conclusions &amp; Recommendations</w:t>
      </w:r>
    </w:p>
    <w:p>
      <w:r>
        <w:br w:type="page"/>
      </w:r>
    </w:p>
    <w:p>
      <w:pPr>
        <w:pStyle w:val="Heading1"/>
        <w:spacing w:before="240" w:after="80"/>
      </w:pPr>
      <w:r>
        <w:rPr>
          <w:color w:val="1F77B4"/>
        </w:rPr>
        <w:t>1. Project Overview &amp; Objectives</w:t>
      </w:r>
    </w:p>
    <w:p>
      <w:pPr>
        <w:pBdr>
          <w:bottom w:val="single" w:sz="4" w:space="1" w:color="1F77B4"/>
        </w:pBdr>
      </w:pPr>
    </w:p>
    <w:p>
      <w:pPr>
        <w:spacing w:before="40" w:after="80"/>
      </w:pPr>
      <w:r>
        <w:rPr>
          <w:b w:val="0"/>
          <w:i w:val="0"/>
          <w:sz w:val="21"/>
        </w:rPr>
        <w:t>This report presents a comprehensive Stock Market Analysis system built entirely in Python. The system ingests any standard OHLCV (Open-High-Low-Close-Volume) CSV dataset, performs automated data cleaning, computes 20+ technical indicators, trains six machine learning models, detects market anomalies, identifies market regimes via clustering, and generates composite trading signals. Amazon (AMZN) is used as the primary demonstration dataset spanning 1997 to 2026.</w:t>
      </w:r>
    </w:p>
    <w:p>
      <w:pPr>
        <w:pStyle w:val="Heading2"/>
        <w:spacing w:before="240" w:after="80"/>
      </w:pPr>
      <w:r>
        <w:t>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F77B4"/>
            <w:vAlign w:val="center"/>
          </w:tcPr>
          <w:p>
            <w:pPr>
              <w:jc w:val="center"/>
            </w:pPr>
            <w:r>
              <w:rPr>
                <w:b/>
                <w:color w:val="FFFFFF"/>
                <w:sz w:val="19"/>
              </w:rPr>
              <w:t>Component</w:t>
            </w:r>
          </w:p>
        </w:tc>
        <w:tc>
          <w:tcPr>
            <w:tcW w:type="dxa" w:w="3168"/>
            <w:shd w:val="clear" w:color="auto" w:fill="1F77B4"/>
            <w:vAlign w:val="center"/>
          </w:tcPr>
          <w:p>
            <w:pPr>
              <w:jc w:val="center"/>
            </w:pPr>
            <w:r>
              <w:rPr>
                <w:b/>
                <w:color w:val="FFFFFF"/>
                <w:sz w:val="19"/>
              </w:rPr>
              <w:t>Technology</w:t>
            </w:r>
          </w:p>
        </w:tc>
        <w:tc>
          <w:tcPr>
            <w:tcW w:type="dxa" w:w="3600"/>
            <w:shd w:val="clear" w:color="auto" w:fill="1F77B4"/>
            <w:vAlign w:val="center"/>
          </w:tcPr>
          <w:p>
            <w:pPr>
              <w:jc w:val="center"/>
            </w:pPr>
            <w:r>
              <w:rPr>
                <w:b/>
                <w:color w:val="FFFFFF"/>
                <w:sz w:val="19"/>
              </w:rPr>
              <w:t>Purpose</w:t>
            </w:r>
          </w:p>
        </w:tc>
      </w:tr>
      <w:tr>
        <w:tc>
          <w:tcPr>
            <w:tcW w:type="dxa" w:w="2592"/>
            <w:shd w:val="clear" w:color="auto" w:fill="EBF3FB"/>
          </w:tcPr>
          <w:p>
            <w:pPr>
              <w:jc w:val="center"/>
            </w:pPr>
            <w:r>
              <w:rPr>
                <w:sz w:val="19"/>
              </w:rPr>
              <w:t>Data Pipeline</w:t>
            </w:r>
          </w:p>
        </w:tc>
        <w:tc>
          <w:tcPr>
            <w:tcW w:type="dxa" w:w="3168"/>
            <w:shd w:val="clear" w:color="auto" w:fill="EBF3FB"/>
          </w:tcPr>
          <w:p>
            <w:pPr>
              <w:jc w:val="center"/>
            </w:pPr>
            <w:r>
              <w:rPr>
                <w:sz w:val="19"/>
              </w:rPr>
              <w:t>Python · pandas · NumPy</w:t>
            </w:r>
          </w:p>
        </w:tc>
        <w:tc>
          <w:tcPr>
            <w:tcW w:type="dxa" w:w="3600"/>
            <w:shd w:val="clear" w:color="auto" w:fill="EBF3FB"/>
          </w:tcPr>
          <w:p>
            <w:pPr>
              <w:jc w:val="center"/>
            </w:pPr>
            <w:r>
              <w:rPr>
                <w:sz w:val="19"/>
              </w:rPr>
              <w:t>Loading, cleaning, feature engineering</w:t>
            </w:r>
          </w:p>
        </w:tc>
      </w:tr>
      <w:tr>
        <w:tc>
          <w:tcPr>
            <w:tcW w:type="dxa" w:w="2592"/>
            <w:shd w:val="clear" w:color="auto" w:fill="FFFFFF"/>
          </w:tcPr>
          <w:p>
            <w:pPr>
              <w:jc w:val="center"/>
            </w:pPr>
            <w:r>
              <w:rPr>
                <w:sz w:val="19"/>
              </w:rPr>
              <w:t>Technical Analysis</w:t>
            </w:r>
          </w:p>
        </w:tc>
        <w:tc>
          <w:tcPr>
            <w:tcW w:type="dxa" w:w="3168"/>
            <w:shd w:val="clear" w:color="auto" w:fill="FFFFFF"/>
          </w:tcPr>
          <w:p>
            <w:pPr>
              <w:jc w:val="center"/>
            </w:pPr>
            <w:r>
              <w:rPr>
                <w:sz w:val="19"/>
              </w:rPr>
              <w:t>pandas · NumPy</w:t>
            </w:r>
          </w:p>
        </w:tc>
        <w:tc>
          <w:tcPr>
            <w:tcW w:type="dxa" w:w="3600"/>
            <w:shd w:val="clear" w:color="auto" w:fill="FFFFFF"/>
          </w:tcPr>
          <w:p>
            <w:pPr>
              <w:jc w:val="center"/>
            </w:pPr>
            <w:r>
              <w:rPr>
                <w:sz w:val="19"/>
              </w:rPr>
              <w:t>20+ indicators: SMA, EMA, RSI, MACD, BB, ATR, OBV</w:t>
            </w:r>
          </w:p>
        </w:tc>
      </w:tr>
      <w:tr>
        <w:tc>
          <w:tcPr>
            <w:tcW w:type="dxa" w:w="2592"/>
            <w:shd w:val="clear" w:color="auto" w:fill="EBF3FB"/>
          </w:tcPr>
          <w:p>
            <w:pPr>
              <w:jc w:val="center"/>
            </w:pPr>
            <w:r>
              <w:rPr>
                <w:sz w:val="19"/>
              </w:rPr>
              <w:t>ML Forecasting</w:t>
            </w:r>
          </w:p>
        </w:tc>
        <w:tc>
          <w:tcPr>
            <w:tcW w:type="dxa" w:w="3168"/>
            <w:shd w:val="clear" w:color="auto" w:fill="EBF3FB"/>
          </w:tcPr>
          <w:p>
            <w:pPr>
              <w:jc w:val="center"/>
            </w:pPr>
            <w:r>
              <w:rPr>
                <w:sz w:val="19"/>
              </w:rPr>
              <w:t>scikit-learn · TensorFlow/Keras</w:t>
            </w:r>
          </w:p>
        </w:tc>
        <w:tc>
          <w:tcPr>
            <w:tcW w:type="dxa" w:w="3600"/>
            <w:shd w:val="clear" w:color="auto" w:fill="EBF3FB"/>
          </w:tcPr>
          <w:p>
            <w:pPr>
              <w:jc w:val="center"/>
            </w:pPr>
            <w:r>
              <w:rPr>
                <w:sz w:val="19"/>
              </w:rPr>
              <w:t>Linear Reg, Random Forest, LSTM</w:t>
            </w:r>
          </w:p>
        </w:tc>
      </w:tr>
      <w:tr>
        <w:tc>
          <w:tcPr>
            <w:tcW w:type="dxa" w:w="2592"/>
            <w:shd w:val="clear" w:color="auto" w:fill="FFFFFF"/>
          </w:tcPr>
          <w:p>
            <w:pPr>
              <w:jc w:val="center"/>
            </w:pPr>
            <w:r>
              <w:rPr>
                <w:sz w:val="19"/>
              </w:rPr>
              <w:t>Clustering</w:t>
            </w:r>
          </w:p>
        </w:tc>
        <w:tc>
          <w:tcPr>
            <w:tcW w:type="dxa" w:w="3168"/>
            <w:shd w:val="clear" w:color="auto" w:fill="FFFFFF"/>
          </w:tcPr>
          <w:p>
            <w:pPr>
              <w:jc w:val="center"/>
            </w:pPr>
            <w:r>
              <w:rPr>
                <w:sz w:val="19"/>
              </w:rPr>
              <w:t>scikit-learn KMeans</w:t>
            </w:r>
          </w:p>
        </w:tc>
        <w:tc>
          <w:tcPr>
            <w:tcW w:type="dxa" w:w="3600"/>
            <w:shd w:val="clear" w:color="auto" w:fill="FFFFFF"/>
          </w:tcPr>
          <w:p>
            <w:pPr>
              <w:jc w:val="center"/>
            </w:pPr>
            <w:r>
              <w:rPr>
                <w:sz w:val="19"/>
              </w:rPr>
              <w:t>Market regime segmentation</w:t>
            </w:r>
          </w:p>
        </w:tc>
      </w:tr>
      <w:tr>
        <w:tc>
          <w:tcPr>
            <w:tcW w:type="dxa" w:w="2592"/>
            <w:shd w:val="clear" w:color="auto" w:fill="EBF3FB"/>
          </w:tcPr>
          <w:p>
            <w:pPr>
              <w:jc w:val="center"/>
            </w:pPr>
            <w:r>
              <w:rPr>
                <w:sz w:val="19"/>
              </w:rPr>
              <w:t>Anomaly Detection</w:t>
            </w:r>
          </w:p>
        </w:tc>
        <w:tc>
          <w:tcPr>
            <w:tcW w:type="dxa" w:w="3168"/>
            <w:shd w:val="clear" w:color="auto" w:fill="EBF3FB"/>
          </w:tcPr>
          <w:p>
            <w:pPr>
              <w:jc w:val="center"/>
            </w:pPr>
            <w:r>
              <w:rPr>
                <w:sz w:val="19"/>
              </w:rPr>
              <w:t>scikit-learn IsolationForest</w:t>
            </w:r>
          </w:p>
        </w:tc>
        <w:tc>
          <w:tcPr>
            <w:tcW w:type="dxa" w:w="3600"/>
            <w:shd w:val="clear" w:color="auto" w:fill="EBF3FB"/>
          </w:tcPr>
          <w:p>
            <w:pPr>
              <w:jc w:val="center"/>
            </w:pPr>
            <w:r>
              <w:rPr>
                <w:sz w:val="19"/>
              </w:rPr>
              <w:t>Extreme event identification</w:t>
            </w:r>
          </w:p>
        </w:tc>
      </w:tr>
      <w:tr>
        <w:tc>
          <w:tcPr>
            <w:tcW w:type="dxa" w:w="2592"/>
            <w:shd w:val="clear" w:color="auto" w:fill="FFFFFF"/>
          </w:tcPr>
          <w:p>
            <w:pPr>
              <w:jc w:val="center"/>
            </w:pPr>
            <w:r>
              <w:rPr>
                <w:sz w:val="19"/>
              </w:rPr>
              <w:t>Signal Classifier</w:t>
            </w:r>
          </w:p>
        </w:tc>
        <w:tc>
          <w:tcPr>
            <w:tcW w:type="dxa" w:w="3168"/>
            <w:shd w:val="clear" w:color="auto" w:fill="FFFFFF"/>
          </w:tcPr>
          <w:p>
            <w:pPr>
              <w:jc w:val="center"/>
            </w:pPr>
            <w:r>
              <w:rPr>
                <w:sz w:val="19"/>
              </w:rPr>
              <w:t>scikit-learn LogisticRegression</w:t>
            </w:r>
          </w:p>
        </w:tc>
        <w:tc>
          <w:tcPr>
            <w:tcW w:type="dxa" w:w="3600"/>
            <w:shd w:val="clear" w:color="auto" w:fill="FFFFFF"/>
          </w:tcPr>
          <w:p>
            <w:pPr>
              <w:jc w:val="center"/>
            </w:pPr>
            <w:r>
              <w:rPr>
                <w:sz w:val="19"/>
              </w:rPr>
              <w:t>BUY/SELL/HOLD classification</w:t>
            </w:r>
          </w:p>
        </w:tc>
      </w:tr>
      <w:tr>
        <w:tc>
          <w:tcPr>
            <w:tcW w:type="dxa" w:w="2592"/>
            <w:shd w:val="clear" w:color="auto" w:fill="EBF3FB"/>
          </w:tcPr>
          <w:p>
            <w:pPr>
              <w:jc w:val="center"/>
            </w:pPr>
            <w:r>
              <w:rPr>
                <w:sz w:val="19"/>
              </w:rPr>
              <w:t>Backend API</w:t>
            </w:r>
          </w:p>
        </w:tc>
        <w:tc>
          <w:tcPr>
            <w:tcW w:type="dxa" w:w="3168"/>
            <w:shd w:val="clear" w:color="auto" w:fill="EBF3FB"/>
          </w:tcPr>
          <w:p>
            <w:pPr>
              <w:jc w:val="center"/>
            </w:pPr>
            <w:r>
              <w:rPr>
                <w:sz w:val="19"/>
              </w:rPr>
              <w:t>FastAPI</w:t>
            </w:r>
          </w:p>
        </w:tc>
        <w:tc>
          <w:tcPr>
            <w:tcW w:type="dxa" w:w="3600"/>
            <w:shd w:val="clear" w:color="auto" w:fill="EBF3FB"/>
          </w:tcPr>
          <w:p>
            <w:pPr>
              <w:jc w:val="center"/>
            </w:pPr>
            <w:r>
              <w:rPr>
                <w:sz w:val="19"/>
              </w:rPr>
              <w:t>REST endpoints for all analyses</w:t>
            </w:r>
          </w:p>
        </w:tc>
      </w:tr>
      <w:tr>
        <w:tc>
          <w:tcPr>
            <w:tcW w:type="dxa" w:w="2592"/>
            <w:shd w:val="clear" w:color="auto" w:fill="FFFFFF"/>
          </w:tcPr>
          <w:p>
            <w:pPr>
              <w:jc w:val="center"/>
            </w:pPr>
            <w:r>
              <w:rPr>
                <w:sz w:val="19"/>
              </w:rPr>
              <w:t>Frontend Dashboard</w:t>
            </w:r>
          </w:p>
        </w:tc>
        <w:tc>
          <w:tcPr>
            <w:tcW w:type="dxa" w:w="3168"/>
            <w:shd w:val="clear" w:color="auto" w:fill="FFFFFF"/>
          </w:tcPr>
          <w:p>
            <w:pPr>
              <w:jc w:val="center"/>
            </w:pPr>
            <w:r>
              <w:rPr>
                <w:sz w:val="19"/>
              </w:rPr>
              <w:t>Streamlit · Plotly</w:t>
            </w:r>
          </w:p>
        </w:tc>
        <w:tc>
          <w:tcPr>
            <w:tcW w:type="dxa" w:w="3600"/>
            <w:shd w:val="clear" w:color="auto" w:fill="FFFFFF"/>
          </w:tcPr>
          <w:p>
            <w:pPr>
              <w:jc w:val="center"/>
            </w:pPr>
            <w:r>
              <w:rPr>
                <w:sz w:val="19"/>
              </w:rPr>
              <w:t>Interactive 6-page web dashboard</w:t>
            </w:r>
          </w:p>
        </w:tc>
      </w:tr>
      <w:tr>
        <w:tc>
          <w:tcPr>
            <w:tcW w:type="dxa" w:w="2592"/>
            <w:shd w:val="clear" w:color="auto" w:fill="EBF3FB"/>
          </w:tcPr>
          <w:p>
            <w:pPr>
              <w:jc w:val="center"/>
            </w:pPr>
            <w:r>
              <w:rPr>
                <w:sz w:val="19"/>
              </w:rPr>
              <w:t>Reports</w:t>
            </w:r>
          </w:p>
        </w:tc>
        <w:tc>
          <w:tcPr>
            <w:tcW w:type="dxa" w:w="3168"/>
            <w:shd w:val="clear" w:color="auto" w:fill="EBF3FB"/>
          </w:tcPr>
          <w:p>
            <w:pPr>
              <w:jc w:val="center"/>
            </w:pPr>
            <w:r>
              <w:rPr>
                <w:sz w:val="19"/>
              </w:rPr>
              <w:t>python-docx · matplotlib</w:t>
            </w:r>
          </w:p>
        </w:tc>
        <w:tc>
          <w:tcPr>
            <w:tcW w:type="dxa" w:w="3600"/>
            <w:shd w:val="clear" w:color="auto" w:fill="EBF3FB"/>
          </w:tcPr>
          <w:p>
            <w:pPr>
              <w:jc w:val="center"/>
            </w:pPr>
            <w:r>
              <w:rPr>
                <w:sz w:val="19"/>
              </w:rPr>
              <w:t>Auto-generated business reports</w:t>
            </w:r>
          </w:p>
        </w:tc>
      </w:tr>
    </w:tbl>
    <w:p>
      <w:r>
        <w:br w:type="page"/>
      </w:r>
    </w:p>
    <w:p>
      <w:pPr>
        <w:pStyle w:val="Heading1"/>
        <w:spacing w:before="240" w:after="80"/>
      </w:pPr>
      <w:r>
        <w:rPr>
          <w:color w:val="1F77B4"/>
        </w:rPr>
        <w:t>2. Dataset Description &amp; Data Cleaning</w:t>
      </w:r>
    </w:p>
    <w:p>
      <w:pPr>
        <w:pBdr>
          <w:bottom w:val="single" w:sz="4" w:space="1" w:color="1F77B4"/>
        </w:pBdr>
      </w:pPr>
    </w:p>
    <w:p>
      <w:pPr>
        <w:pStyle w:val="Heading2"/>
        <w:spacing w:before="240" w:after="80"/>
      </w:pPr>
      <w:r>
        <w:t>2.1  Raw Dataset</w:t>
      </w:r>
    </w:p>
    <w:p>
      <w:pPr>
        <w:spacing w:before="40" w:after="80"/>
      </w:pPr>
      <w:r>
        <w:rPr>
          <w:b w:val="0"/>
          <w:i w:val="0"/>
          <w:sz w:val="21"/>
        </w:rPr>
        <w:t>The raw file AMAZON_daily.csv contains daily OHLCV data for Amazon from its IPO date (May 15, 1997) through September 2026 — a span of nearly 30 years. The file has 7,384 rows and 7 columns.</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F77B4"/>
            <w:vAlign w:val="center"/>
          </w:tcPr>
          <w:p>
            <w:pPr>
              <w:jc w:val="center"/>
            </w:pPr>
            <w:r>
              <w:rPr>
                <w:b/>
                <w:color w:val="FFFFFF"/>
                <w:sz w:val="19"/>
              </w:rPr>
              <w:t>Property</w:t>
            </w:r>
          </w:p>
        </w:tc>
        <w:tc>
          <w:tcPr>
            <w:tcW w:type="dxa" w:w="5760"/>
            <w:shd w:val="clear" w:color="auto" w:fill="1F77B4"/>
            <w:vAlign w:val="center"/>
          </w:tcPr>
          <w:p>
            <w:pPr>
              <w:jc w:val="center"/>
            </w:pPr>
            <w:r>
              <w:rPr>
                <w:b/>
                <w:color w:val="FFFFFF"/>
                <w:sz w:val="19"/>
              </w:rPr>
              <w:t>Value</w:t>
            </w:r>
          </w:p>
        </w:tc>
      </w:tr>
      <w:tr>
        <w:tc>
          <w:tcPr>
            <w:tcW w:type="dxa" w:w="3600"/>
            <w:shd w:val="clear" w:color="auto" w:fill="EBF3FB"/>
          </w:tcPr>
          <w:p>
            <w:pPr>
              <w:jc w:val="center"/>
            </w:pPr>
            <w:r>
              <w:rPr>
                <w:sz w:val="19"/>
              </w:rPr>
              <w:t>File</w:t>
            </w:r>
          </w:p>
        </w:tc>
        <w:tc>
          <w:tcPr>
            <w:tcW w:type="dxa" w:w="5760"/>
            <w:shd w:val="clear" w:color="auto" w:fill="EBF3FB"/>
          </w:tcPr>
          <w:p>
            <w:pPr>
              <w:jc w:val="center"/>
            </w:pPr>
            <w:r>
              <w:rPr>
                <w:sz w:val="19"/>
              </w:rPr>
              <w:t>AMAZON_daily.csv</w:t>
            </w:r>
          </w:p>
        </w:tc>
      </w:tr>
      <w:tr>
        <w:tc>
          <w:tcPr>
            <w:tcW w:type="dxa" w:w="3600"/>
            <w:shd w:val="clear" w:color="auto" w:fill="FFFFFF"/>
          </w:tcPr>
          <w:p>
            <w:pPr>
              <w:jc w:val="center"/>
            </w:pPr>
            <w:r>
              <w:rPr>
                <w:sz w:val="19"/>
              </w:rPr>
              <w:t>Rows</w:t>
            </w:r>
          </w:p>
        </w:tc>
        <w:tc>
          <w:tcPr>
            <w:tcW w:type="dxa" w:w="5760"/>
            <w:shd w:val="clear" w:color="auto" w:fill="FFFFFF"/>
          </w:tcPr>
          <w:p>
            <w:pPr>
              <w:jc w:val="center"/>
            </w:pPr>
            <w:r>
              <w:rPr>
                <w:sz w:val="19"/>
              </w:rPr>
              <w:t>7,384</w:t>
            </w:r>
          </w:p>
        </w:tc>
      </w:tr>
      <w:tr>
        <w:tc>
          <w:tcPr>
            <w:tcW w:type="dxa" w:w="3600"/>
            <w:shd w:val="clear" w:color="auto" w:fill="EBF3FB"/>
          </w:tcPr>
          <w:p>
            <w:pPr>
              <w:jc w:val="center"/>
            </w:pPr>
            <w:r>
              <w:rPr>
                <w:sz w:val="19"/>
              </w:rPr>
              <w:t>Columns</w:t>
            </w:r>
          </w:p>
        </w:tc>
        <w:tc>
          <w:tcPr>
            <w:tcW w:type="dxa" w:w="5760"/>
            <w:shd w:val="clear" w:color="auto" w:fill="EBF3FB"/>
          </w:tcPr>
          <w:p>
            <w:pPr>
              <w:jc w:val="center"/>
            </w:pPr>
            <w:r>
              <w:rPr>
                <w:sz w:val="19"/>
              </w:rPr>
              <w:t>7 (Date, Open, High, Low, Close, Adj Close, Volume)</w:t>
            </w:r>
          </w:p>
        </w:tc>
      </w:tr>
      <w:tr>
        <w:tc>
          <w:tcPr>
            <w:tcW w:type="dxa" w:w="3600"/>
            <w:shd w:val="clear" w:color="auto" w:fill="FFFFFF"/>
          </w:tcPr>
          <w:p>
            <w:pPr>
              <w:jc w:val="center"/>
            </w:pPr>
            <w:r>
              <w:rPr>
                <w:sz w:val="19"/>
              </w:rPr>
              <w:t>Date Range</w:t>
            </w:r>
          </w:p>
        </w:tc>
        <w:tc>
          <w:tcPr>
            <w:tcW w:type="dxa" w:w="5760"/>
            <w:shd w:val="clear" w:color="auto" w:fill="FFFFFF"/>
          </w:tcPr>
          <w:p>
            <w:pPr>
              <w:jc w:val="center"/>
            </w:pPr>
            <w:r>
              <w:rPr>
                <w:sz w:val="19"/>
              </w:rPr>
              <w:t>1997-05-15 → 2026-09-22</w:t>
            </w:r>
          </w:p>
        </w:tc>
      </w:tr>
      <w:tr>
        <w:tc>
          <w:tcPr>
            <w:tcW w:type="dxa" w:w="3600"/>
            <w:shd w:val="clear" w:color="auto" w:fill="EBF3FB"/>
          </w:tcPr>
          <w:p>
            <w:pPr>
              <w:jc w:val="center"/>
            </w:pPr>
            <w:r>
              <w:rPr>
                <w:sz w:val="19"/>
              </w:rPr>
              <w:t>Min Close Price</w:t>
            </w:r>
          </w:p>
        </w:tc>
        <w:tc>
          <w:tcPr>
            <w:tcW w:type="dxa" w:w="5760"/>
            <w:shd w:val="clear" w:color="auto" w:fill="EBF3FB"/>
          </w:tcPr>
          <w:p>
            <w:pPr>
              <w:jc w:val="center"/>
            </w:pPr>
            <w:r>
              <w:rPr>
                <w:sz w:val="19"/>
              </w:rPr>
              <w:t>$0.07 (1997)</w:t>
            </w:r>
          </w:p>
        </w:tc>
      </w:tr>
      <w:tr>
        <w:tc>
          <w:tcPr>
            <w:tcW w:type="dxa" w:w="3600"/>
            <w:shd w:val="clear" w:color="auto" w:fill="FFFFFF"/>
          </w:tcPr>
          <w:p>
            <w:pPr>
              <w:jc w:val="center"/>
            </w:pPr>
            <w:r>
              <w:rPr>
                <w:sz w:val="19"/>
              </w:rPr>
              <w:t>Max Close Price</w:t>
            </w:r>
          </w:p>
        </w:tc>
        <w:tc>
          <w:tcPr>
            <w:tcW w:type="dxa" w:w="5760"/>
            <w:shd w:val="clear" w:color="auto" w:fill="FFFFFF"/>
          </w:tcPr>
          <w:p>
            <w:pPr>
              <w:jc w:val="center"/>
            </w:pPr>
            <w:r>
              <w:rPr>
                <w:sz w:val="19"/>
              </w:rPr>
              <w:t>$284.02 (2026)</w:t>
            </w:r>
          </w:p>
        </w:tc>
      </w:tr>
      <w:tr>
        <w:tc>
          <w:tcPr>
            <w:tcW w:type="dxa" w:w="3600"/>
            <w:shd w:val="clear" w:color="auto" w:fill="EBF3FB"/>
          </w:tcPr>
          <w:p>
            <w:pPr>
              <w:jc w:val="center"/>
            </w:pPr>
            <w:r>
              <w:rPr>
                <w:sz w:val="19"/>
              </w:rPr>
              <w:t>Mean Close Price</w:t>
            </w:r>
          </w:p>
        </w:tc>
        <w:tc>
          <w:tcPr>
            <w:tcW w:type="dxa" w:w="5760"/>
            <w:shd w:val="clear" w:color="auto" w:fill="EBF3FB"/>
          </w:tcPr>
          <w:p>
            <w:pPr>
              <w:jc w:val="center"/>
            </w:pPr>
            <w:r>
              <w:rPr>
                <w:sz w:val="19"/>
              </w:rPr>
              <w:t>$50.74</w:t>
            </w:r>
          </w:p>
        </w:tc>
      </w:tr>
      <w:tr>
        <w:tc>
          <w:tcPr>
            <w:tcW w:type="dxa" w:w="3600"/>
            <w:shd w:val="clear" w:color="auto" w:fill="FFFFFF"/>
          </w:tcPr>
          <w:p>
            <w:pPr>
              <w:jc w:val="center"/>
            </w:pPr>
            <w:r>
              <w:rPr>
                <w:sz w:val="19"/>
              </w:rPr>
              <w:t>Median Close Price</w:t>
            </w:r>
          </w:p>
        </w:tc>
        <w:tc>
          <w:tcPr>
            <w:tcW w:type="dxa" w:w="5760"/>
            <w:shd w:val="clear" w:color="auto" w:fill="FFFFFF"/>
          </w:tcPr>
          <w:p>
            <w:pPr>
              <w:jc w:val="center"/>
            </w:pPr>
            <w:r>
              <w:rPr>
                <w:sz w:val="19"/>
              </w:rPr>
              <w:t>$10.53</w:t>
            </w:r>
          </w:p>
        </w:tc>
      </w:tr>
    </w:tbl>
    <w:p>
      <w:pPr>
        <w:pStyle w:val="Heading2"/>
        <w:spacing w:before="240" w:after="80"/>
      </w:pPr>
      <w:r>
        <w:t>2.2  Data Quality Issues &amp; Fixes</w:t>
      </w:r>
    </w:p>
    <w:p>
      <w:pPr>
        <w:spacing w:before="40" w:after="80"/>
      </w:pPr>
      <w:r>
        <w:rPr>
          <w:b w:val="0"/>
          <w:i w:val="0"/>
          <w:sz w:val="21"/>
        </w:rPr>
        <w:t>The following checks were performed and issues resolved automatically by the cleaning pipeline: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1F77B4"/>
            <w:vAlign w:val="center"/>
          </w:tcPr>
          <w:p>
            <w:pPr>
              <w:jc w:val="center"/>
            </w:pPr>
            <w:r>
              <w:rPr>
                <w:b/>
                <w:color w:val="FFFFFF"/>
                <w:sz w:val="19"/>
              </w:rPr>
              <w:t>Step</w:t>
            </w:r>
          </w:p>
        </w:tc>
        <w:tc>
          <w:tcPr>
            <w:tcW w:type="dxa" w:w="2304"/>
            <w:shd w:val="clear" w:color="auto" w:fill="1F77B4"/>
            <w:vAlign w:val="center"/>
          </w:tcPr>
          <w:p>
            <w:pPr>
              <w:jc w:val="center"/>
            </w:pPr>
            <w:r>
              <w:rPr>
                <w:b/>
                <w:color w:val="FFFFFF"/>
                <w:sz w:val="19"/>
              </w:rPr>
              <w:t>Check</w:t>
            </w:r>
          </w:p>
        </w:tc>
        <w:tc>
          <w:tcPr>
            <w:tcW w:type="dxa" w:w="3456"/>
            <w:shd w:val="clear" w:color="auto" w:fill="1F77B4"/>
            <w:vAlign w:val="center"/>
          </w:tcPr>
          <w:p>
            <w:pPr>
              <w:jc w:val="center"/>
            </w:pPr>
            <w:r>
              <w:rPr>
                <w:b/>
                <w:color w:val="FFFFFF"/>
                <w:sz w:val="19"/>
              </w:rPr>
              <w:t>Finding</w:t>
            </w:r>
          </w:p>
        </w:tc>
        <w:tc>
          <w:tcPr>
            <w:tcW w:type="dxa" w:w="2880"/>
            <w:shd w:val="clear" w:color="auto" w:fill="1F77B4"/>
            <w:vAlign w:val="center"/>
          </w:tcPr>
          <w:p>
            <w:pPr>
              <w:jc w:val="center"/>
            </w:pPr>
            <w:r>
              <w:rPr>
                <w:b/>
                <w:color w:val="FFFFFF"/>
                <w:sz w:val="19"/>
              </w:rPr>
              <w:t>Action Taken</w:t>
            </w:r>
          </w:p>
        </w:tc>
      </w:tr>
      <w:tr>
        <w:tc>
          <w:tcPr>
            <w:tcW w:type="dxa" w:w="720"/>
            <w:shd w:val="clear" w:color="auto" w:fill="EBF3FB"/>
          </w:tcPr>
          <w:p>
            <w:pPr>
              <w:jc w:val="center"/>
            </w:pPr>
            <w:r>
              <w:rPr>
                <w:sz w:val="19"/>
              </w:rPr>
              <w:t>1</w:t>
            </w:r>
          </w:p>
        </w:tc>
        <w:tc>
          <w:tcPr>
            <w:tcW w:type="dxa" w:w="2304"/>
            <w:shd w:val="clear" w:color="auto" w:fill="EBF3FB"/>
          </w:tcPr>
          <w:p>
            <w:pPr>
              <w:jc w:val="center"/>
            </w:pPr>
            <w:r>
              <w:rPr>
                <w:sz w:val="19"/>
              </w:rPr>
              <w:t>Column Swap Bug</w:t>
            </w:r>
          </w:p>
        </w:tc>
        <w:tc>
          <w:tcPr>
            <w:tcW w:type="dxa" w:w="3456"/>
            <w:shd w:val="clear" w:color="auto" w:fill="EBF3FB"/>
          </w:tcPr>
          <w:p>
            <w:pPr>
              <w:jc w:val="center"/>
            </w:pPr>
            <w:r>
              <w:rPr>
                <w:sz w:val="19"/>
              </w:rPr>
              <w:t>Adj Close &amp; Volume columns were swapped in the raw CSV</w:t>
            </w:r>
          </w:p>
        </w:tc>
        <w:tc>
          <w:tcPr>
            <w:tcW w:type="dxa" w:w="2880"/>
            <w:shd w:val="clear" w:color="auto" w:fill="EBF3FB"/>
          </w:tcPr>
          <w:p>
            <w:pPr>
              <w:jc w:val="center"/>
            </w:pPr>
            <w:r>
              <w:rPr>
                <w:sz w:val="19"/>
              </w:rPr>
              <w:t>Auto-detected via median heuristic; two-step rename applied</w:t>
            </w:r>
          </w:p>
        </w:tc>
      </w:tr>
      <w:tr>
        <w:tc>
          <w:tcPr>
            <w:tcW w:type="dxa" w:w="720"/>
            <w:shd w:val="clear" w:color="auto" w:fill="FFFFFF"/>
          </w:tcPr>
          <w:p>
            <w:pPr>
              <w:jc w:val="center"/>
            </w:pPr>
            <w:r>
              <w:rPr>
                <w:sz w:val="19"/>
              </w:rPr>
              <w:t>2</w:t>
            </w:r>
          </w:p>
        </w:tc>
        <w:tc>
          <w:tcPr>
            <w:tcW w:type="dxa" w:w="2304"/>
            <w:shd w:val="clear" w:color="auto" w:fill="FFFFFF"/>
          </w:tcPr>
          <w:p>
            <w:pPr>
              <w:jc w:val="center"/>
            </w:pPr>
            <w:r>
              <w:rPr>
                <w:sz w:val="19"/>
              </w:rPr>
              <w:t>Data Types</w:t>
            </w:r>
          </w:p>
        </w:tc>
        <w:tc>
          <w:tcPr>
            <w:tcW w:type="dxa" w:w="3456"/>
            <w:shd w:val="clear" w:color="auto" w:fill="FFFFFF"/>
          </w:tcPr>
          <w:p>
            <w:pPr>
              <w:jc w:val="center"/>
            </w:pPr>
            <w:r>
              <w:rPr>
                <w:sz w:val="19"/>
              </w:rPr>
              <w:t>Date was object; Volume was float64</w:t>
            </w:r>
          </w:p>
        </w:tc>
        <w:tc>
          <w:tcPr>
            <w:tcW w:type="dxa" w:w="2880"/>
            <w:shd w:val="clear" w:color="auto" w:fill="FFFFFF"/>
          </w:tcPr>
          <w:p>
            <w:pPr>
              <w:jc w:val="center"/>
            </w:pPr>
            <w:r>
              <w:rPr>
                <w:sz w:val="19"/>
              </w:rPr>
              <w:t>Date → datetime64; Volume → Int64; prices → float64</w:t>
            </w:r>
          </w:p>
        </w:tc>
      </w:tr>
      <w:tr>
        <w:tc>
          <w:tcPr>
            <w:tcW w:type="dxa" w:w="720"/>
            <w:shd w:val="clear" w:color="auto" w:fill="EBF3FB"/>
          </w:tcPr>
          <w:p>
            <w:pPr>
              <w:jc w:val="center"/>
            </w:pPr>
            <w:r>
              <w:rPr>
                <w:sz w:val="19"/>
              </w:rPr>
              <w:t>3</w:t>
            </w:r>
          </w:p>
        </w:tc>
        <w:tc>
          <w:tcPr>
            <w:tcW w:type="dxa" w:w="2304"/>
            <w:shd w:val="clear" w:color="auto" w:fill="EBF3FB"/>
          </w:tcPr>
          <w:p>
            <w:pPr>
              <w:jc w:val="center"/>
            </w:pPr>
            <w:r>
              <w:rPr>
                <w:sz w:val="19"/>
              </w:rPr>
              <w:t>Missing Values</w:t>
            </w:r>
          </w:p>
        </w:tc>
        <w:tc>
          <w:tcPr>
            <w:tcW w:type="dxa" w:w="3456"/>
            <w:shd w:val="clear" w:color="auto" w:fill="EBF3FB"/>
          </w:tcPr>
          <w:p>
            <w:pPr>
              <w:jc w:val="center"/>
            </w:pPr>
            <w:r>
              <w:rPr>
                <w:sz w:val="19"/>
              </w:rPr>
              <w:t>5 missing cells (1 row each in Open/High/Low/Close/Adj Close)</w:t>
            </w:r>
          </w:p>
        </w:tc>
        <w:tc>
          <w:tcPr>
            <w:tcW w:type="dxa" w:w="2880"/>
            <w:shd w:val="clear" w:color="auto" w:fill="EBF3FB"/>
          </w:tcPr>
          <w:p>
            <w:pPr>
              <w:jc w:val="center"/>
            </w:pPr>
            <w:r>
              <w:rPr>
                <w:sz w:val="19"/>
              </w:rPr>
              <w:t>Price NaNs forward-filled; Volume NaNs → 0</w:t>
            </w:r>
          </w:p>
        </w:tc>
      </w:tr>
      <w:tr>
        <w:tc>
          <w:tcPr>
            <w:tcW w:type="dxa" w:w="720"/>
            <w:shd w:val="clear" w:color="auto" w:fill="FFFFFF"/>
          </w:tcPr>
          <w:p>
            <w:pPr>
              <w:jc w:val="center"/>
            </w:pPr>
            <w:r>
              <w:rPr>
                <w:sz w:val="19"/>
              </w:rPr>
              <w:t>4</w:t>
            </w:r>
          </w:p>
        </w:tc>
        <w:tc>
          <w:tcPr>
            <w:tcW w:type="dxa" w:w="2304"/>
            <w:shd w:val="clear" w:color="auto" w:fill="FFFFFF"/>
          </w:tcPr>
          <w:p>
            <w:pPr>
              <w:jc w:val="center"/>
            </w:pPr>
            <w:r>
              <w:rPr>
                <w:sz w:val="19"/>
              </w:rPr>
              <w:t>Duplicates</w:t>
            </w:r>
          </w:p>
        </w:tc>
        <w:tc>
          <w:tcPr>
            <w:tcW w:type="dxa" w:w="3456"/>
            <w:shd w:val="clear" w:color="auto" w:fill="FFFFFF"/>
          </w:tcPr>
          <w:p>
            <w:pPr>
              <w:jc w:val="center"/>
            </w:pPr>
            <w:r>
              <w:rPr>
                <w:sz w:val="19"/>
              </w:rPr>
              <w:t>0 full duplicate rows; 0 duplicate dates</w:t>
            </w:r>
          </w:p>
        </w:tc>
        <w:tc>
          <w:tcPr>
            <w:tcW w:type="dxa" w:w="2880"/>
            <w:shd w:val="clear" w:color="auto" w:fill="FFFFFF"/>
          </w:tcPr>
          <w:p>
            <w:pPr>
              <w:jc w:val="center"/>
            </w:pPr>
            <w:r>
              <w:rPr>
                <w:sz w:val="19"/>
              </w:rPr>
              <w:t>No action required</w:t>
            </w:r>
          </w:p>
        </w:tc>
      </w:tr>
      <w:tr>
        <w:tc>
          <w:tcPr>
            <w:tcW w:type="dxa" w:w="720"/>
            <w:shd w:val="clear" w:color="auto" w:fill="EBF3FB"/>
          </w:tcPr>
          <w:p>
            <w:pPr>
              <w:jc w:val="center"/>
            </w:pPr>
            <w:r>
              <w:rPr>
                <w:sz w:val="19"/>
              </w:rPr>
              <w:t>5</w:t>
            </w:r>
          </w:p>
        </w:tc>
        <w:tc>
          <w:tcPr>
            <w:tcW w:type="dxa" w:w="2304"/>
            <w:shd w:val="clear" w:color="auto" w:fill="EBF3FB"/>
          </w:tcPr>
          <w:p>
            <w:pPr>
              <w:jc w:val="center"/>
            </w:pPr>
            <w:r>
              <w:rPr>
                <w:sz w:val="19"/>
              </w:rPr>
              <w:t>Logical Validity</w:t>
            </w:r>
          </w:p>
        </w:tc>
        <w:tc>
          <w:tcPr>
            <w:tcW w:type="dxa" w:w="3456"/>
            <w:shd w:val="clear" w:color="auto" w:fill="EBF3FB"/>
          </w:tcPr>
          <w:p>
            <w:pPr>
              <w:jc w:val="center"/>
            </w:pPr>
            <w:r>
              <w:rPr>
                <w:sz w:val="19"/>
              </w:rPr>
              <w:t>All OHLCV relationships valid (High≥Low, Close∈[Low,High], Price&gt;0)</w:t>
            </w:r>
          </w:p>
        </w:tc>
        <w:tc>
          <w:tcPr>
            <w:tcW w:type="dxa" w:w="2880"/>
            <w:shd w:val="clear" w:color="auto" w:fill="EBF3FB"/>
          </w:tcPr>
          <w:p>
            <w:pPr>
              <w:jc w:val="center"/>
            </w:pPr>
            <w:r>
              <w:rPr>
                <w:sz w:val="19"/>
              </w:rPr>
              <w:t>No corrections needed</w:t>
            </w:r>
          </w:p>
        </w:tc>
      </w:tr>
      <w:tr>
        <w:tc>
          <w:tcPr>
            <w:tcW w:type="dxa" w:w="720"/>
            <w:shd w:val="clear" w:color="auto" w:fill="FFFFFF"/>
          </w:tcPr>
          <w:p>
            <w:pPr>
              <w:jc w:val="center"/>
            </w:pPr>
            <w:r>
              <w:rPr>
                <w:sz w:val="19"/>
              </w:rPr>
              <w:t>6</w:t>
            </w:r>
          </w:p>
        </w:tc>
        <w:tc>
          <w:tcPr>
            <w:tcW w:type="dxa" w:w="2304"/>
            <w:shd w:val="clear" w:color="auto" w:fill="FFFFFF"/>
          </w:tcPr>
          <w:p>
            <w:pPr>
              <w:jc w:val="center"/>
            </w:pPr>
            <w:r>
              <w:rPr>
                <w:sz w:val="19"/>
              </w:rPr>
              <w:t>Date Gaps</w:t>
            </w:r>
          </w:p>
        </w:tc>
        <w:tc>
          <w:tcPr>
            <w:tcW w:type="dxa" w:w="3456"/>
            <w:shd w:val="clear" w:color="auto" w:fill="FFFFFF"/>
          </w:tcPr>
          <w:p>
            <w:pPr>
              <w:jc w:val="center"/>
            </w:pPr>
            <w:r>
              <w:rPr>
                <w:sz w:val="19"/>
              </w:rPr>
              <w:t>3 gaps &gt; 4 calendar days (9/11 closure, holiday extensions)</w:t>
            </w:r>
          </w:p>
        </w:tc>
        <w:tc>
          <w:tcPr>
            <w:tcW w:type="dxa" w:w="2880"/>
            <w:shd w:val="clear" w:color="auto" w:fill="FFFFFF"/>
          </w:tcPr>
          <w:p>
            <w:pPr>
              <w:jc w:val="center"/>
            </w:pPr>
            <w:r>
              <w:rPr>
                <w:sz w:val="19"/>
              </w:rPr>
              <w:t>Documented — genuine market closures, not data errors</w:t>
            </w:r>
          </w:p>
        </w:tc>
      </w:tr>
      <w:tr>
        <w:tc>
          <w:tcPr>
            <w:tcW w:type="dxa" w:w="720"/>
            <w:shd w:val="clear" w:color="auto" w:fill="EBF3FB"/>
          </w:tcPr>
          <w:p>
            <w:pPr>
              <w:jc w:val="center"/>
            </w:pPr>
            <w:r>
              <w:rPr>
                <w:sz w:val="19"/>
              </w:rPr>
              <w:t>7</w:t>
            </w:r>
          </w:p>
        </w:tc>
        <w:tc>
          <w:tcPr>
            <w:tcW w:type="dxa" w:w="2304"/>
            <w:shd w:val="clear" w:color="auto" w:fill="EBF3FB"/>
          </w:tcPr>
          <w:p>
            <w:pPr>
              <w:jc w:val="center"/>
            </w:pPr>
            <w:r>
              <w:rPr>
                <w:sz w:val="19"/>
              </w:rPr>
              <w:t>IQR Outliers</w:t>
            </w:r>
          </w:p>
        </w:tc>
        <w:tc>
          <w:tcPr>
            <w:tcW w:type="dxa" w:w="3456"/>
            <w:shd w:val="clear" w:color="auto" w:fill="EBF3FB"/>
          </w:tcPr>
          <w:p>
            <w:pPr>
              <w:jc w:val="center"/>
            </w:pPr>
            <w:r>
              <w:rPr>
                <w:sz w:val="19"/>
              </w:rPr>
              <w:t>292 rows outside IQR fence (recent high prices)</w:t>
            </w:r>
          </w:p>
        </w:tc>
        <w:tc>
          <w:tcPr>
            <w:tcW w:type="dxa" w:w="2880"/>
            <w:shd w:val="clear" w:color="auto" w:fill="EBF3FB"/>
          </w:tcPr>
          <w:p>
            <w:pPr>
              <w:jc w:val="center"/>
            </w:pPr>
            <w:r>
              <w:rPr>
                <w:sz w:val="19"/>
              </w:rPr>
              <w:t>Retained — genuine price appreciation over 27 years</w:t>
            </w:r>
          </w:p>
        </w:tc>
      </w:tr>
      <w:tr>
        <w:tc>
          <w:tcPr>
            <w:tcW w:type="dxa" w:w="720"/>
            <w:shd w:val="clear" w:color="auto" w:fill="FFFFFF"/>
          </w:tcPr>
          <w:p>
            <w:pPr>
              <w:jc w:val="center"/>
            </w:pPr>
            <w:r>
              <w:rPr>
                <w:sz w:val="19"/>
              </w:rPr>
              <w:t>8</w:t>
            </w:r>
          </w:p>
        </w:tc>
        <w:tc>
          <w:tcPr>
            <w:tcW w:type="dxa" w:w="2304"/>
            <w:shd w:val="clear" w:color="auto" w:fill="FFFFFF"/>
          </w:tcPr>
          <w:p>
            <w:pPr>
              <w:jc w:val="center"/>
            </w:pPr>
            <w:r>
              <w:rPr>
                <w:sz w:val="19"/>
              </w:rPr>
              <w:t>Z-Score Outliers</w:t>
            </w:r>
          </w:p>
        </w:tc>
        <w:tc>
          <w:tcPr>
            <w:tcW w:type="dxa" w:w="3456"/>
            <w:shd w:val="clear" w:color="auto" w:fill="FFFFFF"/>
          </w:tcPr>
          <w:p>
            <w:pPr>
              <w:jc w:val="center"/>
            </w:pPr>
            <w:r>
              <w:rPr>
                <w:sz w:val="19"/>
              </w:rPr>
              <w:t>34 rows with |z| &gt; 3 (2026 high prices)</w:t>
            </w:r>
          </w:p>
        </w:tc>
        <w:tc>
          <w:tcPr>
            <w:tcW w:type="dxa" w:w="2880"/>
            <w:shd w:val="clear" w:color="auto" w:fill="FFFFFF"/>
          </w:tcPr>
          <w:p>
            <w:pPr>
              <w:jc w:val="center"/>
            </w:pPr>
            <w:r>
              <w:rPr>
                <w:sz w:val="19"/>
              </w:rPr>
              <w:t>Retained — genuine market values</w:t>
            </w:r>
          </w:p>
        </w:tc>
      </w:tr>
    </w:tbl>
    <w:p>
      <w:pPr>
        <w:pStyle w:val="Heading2"/>
        <w:spacing w:before="240" w:after="80"/>
      </w:pPr>
      <w:r>
        <w:t>2.3  Statistical Summary (Cleaned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77B4"/>
            <w:vAlign w:val="center"/>
          </w:tcPr>
          <w:p>
            <w:pPr>
              <w:jc w:val="center"/>
            </w:pPr>
            <w:r>
              <w:rPr>
                <w:b/>
                <w:color w:val="FFFFFF"/>
                <w:sz w:val="19"/>
              </w:rPr>
              <w:t>Statistic</w:t>
            </w:r>
          </w:p>
        </w:tc>
        <w:tc>
          <w:tcPr>
            <w:tcW w:type="dxa" w:w="1560"/>
            <w:shd w:val="clear" w:color="auto" w:fill="1F77B4"/>
            <w:vAlign w:val="center"/>
          </w:tcPr>
          <w:p>
            <w:pPr>
              <w:jc w:val="center"/>
            </w:pPr>
            <w:r>
              <w:rPr>
                <w:b/>
                <w:color w:val="FFFFFF"/>
                <w:sz w:val="19"/>
              </w:rPr>
              <w:t>Open</w:t>
            </w:r>
          </w:p>
        </w:tc>
        <w:tc>
          <w:tcPr>
            <w:tcW w:type="dxa" w:w="1560"/>
            <w:shd w:val="clear" w:color="auto" w:fill="1F77B4"/>
            <w:vAlign w:val="center"/>
          </w:tcPr>
          <w:p>
            <w:pPr>
              <w:jc w:val="center"/>
            </w:pPr>
            <w:r>
              <w:rPr>
                <w:b/>
                <w:color w:val="FFFFFF"/>
                <w:sz w:val="19"/>
              </w:rPr>
              <w:t>High</w:t>
            </w:r>
          </w:p>
        </w:tc>
        <w:tc>
          <w:tcPr>
            <w:tcW w:type="dxa" w:w="1560"/>
            <w:shd w:val="clear" w:color="auto" w:fill="1F77B4"/>
            <w:vAlign w:val="center"/>
          </w:tcPr>
          <w:p>
            <w:pPr>
              <w:jc w:val="center"/>
            </w:pPr>
            <w:r>
              <w:rPr>
                <w:b/>
                <w:color w:val="FFFFFF"/>
                <w:sz w:val="19"/>
              </w:rPr>
              <w:t>Low</w:t>
            </w:r>
          </w:p>
        </w:tc>
        <w:tc>
          <w:tcPr>
            <w:tcW w:type="dxa" w:w="1560"/>
            <w:shd w:val="clear" w:color="auto" w:fill="1F77B4"/>
            <w:vAlign w:val="center"/>
          </w:tcPr>
          <w:p>
            <w:pPr>
              <w:jc w:val="center"/>
            </w:pPr>
            <w:r>
              <w:rPr>
                <w:b/>
                <w:color w:val="FFFFFF"/>
                <w:sz w:val="19"/>
              </w:rPr>
              <w:t>Close</w:t>
            </w:r>
          </w:p>
        </w:tc>
        <w:tc>
          <w:tcPr>
            <w:tcW w:type="dxa" w:w="1560"/>
            <w:shd w:val="clear" w:color="auto" w:fill="1F77B4"/>
            <w:vAlign w:val="center"/>
          </w:tcPr>
          <w:p>
            <w:pPr>
              <w:jc w:val="center"/>
            </w:pPr>
            <w:r>
              <w:rPr>
                <w:b/>
                <w:color w:val="FFFFFF"/>
                <w:sz w:val="19"/>
              </w:rPr>
              <w:t>Adj Close</w:t>
            </w:r>
          </w:p>
        </w:tc>
      </w:tr>
      <w:tr>
        <w:tc>
          <w:tcPr>
            <w:tcW w:type="dxa" w:w="1560"/>
            <w:shd w:val="clear" w:color="auto" w:fill="EBF3FB"/>
          </w:tcPr>
          <w:p>
            <w:pPr>
              <w:jc w:val="center"/>
            </w:pPr>
            <w:r>
              <w:rPr>
                <w:sz w:val="19"/>
              </w:rPr>
              <w:t>Count</w:t>
            </w:r>
          </w:p>
        </w:tc>
        <w:tc>
          <w:tcPr>
            <w:tcW w:type="dxa" w:w="1560"/>
            <w:shd w:val="clear" w:color="auto" w:fill="EBF3FB"/>
          </w:tcPr>
          <w:p>
            <w:pPr>
              <w:jc w:val="center"/>
            </w:pPr>
            <w:r>
              <w:rPr>
                <w:sz w:val="19"/>
              </w:rPr>
              <w:t>7384.00</w:t>
            </w:r>
          </w:p>
        </w:tc>
        <w:tc>
          <w:tcPr>
            <w:tcW w:type="dxa" w:w="1560"/>
            <w:shd w:val="clear" w:color="auto" w:fill="EBF3FB"/>
          </w:tcPr>
          <w:p>
            <w:pPr>
              <w:jc w:val="center"/>
            </w:pPr>
            <w:r>
              <w:rPr>
                <w:sz w:val="19"/>
              </w:rPr>
              <w:t>7384.00</w:t>
            </w:r>
          </w:p>
        </w:tc>
        <w:tc>
          <w:tcPr>
            <w:tcW w:type="dxa" w:w="1560"/>
            <w:shd w:val="clear" w:color="auto" w:fill="EBF3FB"/>
          </w:tcPr>
          <w:p>
            <w:pPr>
              <w:jc w:val="center"/>
            </w:pPr>
            <w:r>
              <w:rPr>
                <w:sz w:val="19"/>
              </w:rPr>
              <w:t>7384.00</w:t>
            </w:r>
          </w:p>
        </w:tc>
        <w:tc>
          <w:tcPr>
            <w:tcW w:type="dxa" w:w="1560"/>
            <w:shd w:val="clear" w:color="auto" w:fill="EBF3FB"/>
          </w:tcPr>
          <w:p>
            <w:pPr>
              <w:jc w:val="center"/>
            </w:pPr>
            <w:r>
              <w:rPr>
                <w:sz w:val="19"/>
              </w:rPr>
              <w:t>7384.00</w:t>
            </w:r>
          </w:p>
        </w:tc>
        <w:tc>
          <w:tcPr>
            <w:tcW w:type="dxa" w:w="1560"/>
            <w:shd w:val="clear" w:color="auto" w:fill="EBF3FB"/>
          </w:tcPr>
          <w:p>
            <w:pPr>
              <w:jc w:val="center"/>
            </w:pPr>
            <w:r>
              <w:rPr>
                <w:sz w:val="19"/>
              </w:rPr>
              <w:t>7384.00</w:t>
            </w:r>
          </w:p>
        </w:tc>
      </w:tr>
      <w:tr>
        <w:tc>
          <w:tcPr>
            <w:tcW w:type="dxa" w:w="1560"/>
            <w:shd w:val="clear" w:color="auto" w:fill="FFFFFF"/>
          </w:tcPr>
          <w:p>
            <w:pPr>
              <w:jc w:val="center"/>
            </w:pPr>
            <w:r>
              <w:rPr>
                <w:sz w:val="19"/>
              </w:rPr>
              <w:t>Mean</w:t>
            </w:r>
          </w:p>
        </w:tc>
        <w:tc>
          <w:tcPr>
            <w:tcW w:type="dxa" w:w="1560"/>
            <w:shd w:val="clear" w:color="auto" w:fill="FFFFFF"/>
          </w:tcPr>
          <w:p>
            <w:pPr>
              <w:jc w:val="center"/>
            </w:pPr>
            <w:r>
              <w:rPr>
                <w:sz w:val="19"/>
              </w:rPr>
              <w:t>50.75</w:t>
            </w:r>
          </w:p>
        </w:tc>
        <w:tc>
          <w:tcPr>
            <w:tcW w:type="dxa" w:w="1560"/>
            <w:shd w:val="clear" w:color="auto" w:fill="FFFFFF"/>
          </w:tcPr>
          <w:p>
            <w:pPr>
              <w:jc w:val="center"/>
            </w:pPr>
            <w:r>
              <w:rPr>
                <w:sz w:val="19"/>
              </w:rPr>
              <w:t>51.34</w:t>
            </w:r>
          </w:p>
        </w:tc>
        <w:tc>
          <w:tcPr>
            <w:tcW w:type="dxa" w:w="1560"/>
            <w:shd w:val="clear" w:color="auto" w:fill="FFFFFF"/>
          </w:tcPr>
          <w:p>
            <w:pPr>
              <w:jc w:val="center"/>
            </w:pPr>
            <w:r>
              <w:rPr>
                <w:sz w:val="19"/>
              </w:rPr>
              <w:t>50.11</w:t>
            </w:r>
          </w:p>
        </w:tc>
        <w:tc>
          <w:tcPr>
            <w:tcW w:type="dxa" w:w="1560"/>
            <w:shd w:val="clear" w:color="auto" w:fill="FFFFFF"/>
          </w:tcPr>
          <w:p>
            <w:pPr>
              <w:jc w:val="center"/>
            </w:pPr>
            <w:r>
              <w:rPr>
                <w:sz w:val="19"/>
              </w:rPr>
              <w:t>50.74</w:t>
            </w:r>
          </w:p>
        </w:tc>
        <w:tc>
          <w:tcPr>
            <w:tcW w:type="dxa" w:w="1560"/>
            <w:shd w:val="clear" w:color="auto" w:fill="FFFFFF"/>
          </w:tcPr>
          <w:p>
            <w:pPr>
              <w:jc w:val="center"/>
            </w:pPr>
            <w:r>
              <w:rPr>
                <w:sz w:val="19"/>
              </w:rPr>
              <w:t>50.74</w:t>
            </w:r>
          </w:p>
        </w:tc>
      </w:tr>
      <w:tr>
        <w:tc>
          <w:tcPr>
            <w:tcW w:type="dxa" w:w="1560"/>
            <w:shd w:val="clear" w:color="auto" w:fill="EBF3FB"/>
          </w:tcPr>
          <w:p>
            <w:pPr>
              <w:jc w:val="center"/>
            </w:pPr>
            <w:r>
              <w:rPr>
                <w:sz w:val="19"/>
              </w:rPr>
              <w:t>Std</w:t>
            </w:r>
          </w:p>
        </w:tc>
        <w:tc>
          <w:tcPr>
            <w:tcW w:type="dxa" w:w="1560"/>
            <w:shd w:val="clear" w:color="auto" w:fill="EBF3FB"/>
          </w:tcPr>
          <w:p>
            <w:pPr>
              <w:jc w:val="center"/>
            </w:pPr>
            <w:r>
              <w:rPr>
                <w:sz w:val="19"/>
              </w:rPr>
              <w:t>70.78</w:t>
            </w:r>
          </w:p>
        </w:tc>
        <w:tc>
          <w:tcPr>
            <w:tcW w:type="dxa" w:w="1560"/>
            <w:shd w:val="clear" w:color="auto" w:fill="EBF3FB"/>
          </w:tcPr>
          <w:p>
            <w:pPr>
              <w:jc w:val="center"/>
            </w:pPr>
            <w:r>
              <w:rPr>
                <w:sz w:val="19"/>
              </w:rPr>
              <w:t>71.58</w:t>
            </w:r>
          </w:p>
        </w:tc>
        <w:tc>
          <w:tcPr>
            <w:tcW w:type="dxa" w:w="1560"/>
            <w:shd w:val="clear" w:color="auto" w:fill="EBF3FB"/>
          </w:tcPr>
          <w:p>
            <w:pPr>
              <w:jc w:val="center"/>
            </w:pPr>
            <w:r>
              <w:rPr>
                <w:sz w:val="19"/>
              </w:rPr>
              <w:t>69.91</w:t>
            </w:r>
          </w:p>
        </w:tc>
        <w:tc>
          <w:tcPr>
            <w:tcW w:type="dxa" w:w="1560"/>
            <w:shd w:val="clear" w:color="auto" w:fill="EBF3FB"/>
          </w:tcPr>
          <w:p>
            <w:pPr>
              <w:jc w:val="center"/>
            </w:pPr>
            <w:r>
              <w:rPr>
                <w:sz w:val="19"/>
              </w:rPr>
              <w:t>70.75</w:t>
            </w:r>
          </w:p>
        </w:tc>
        <w:tc>
          <w:tcPr>
            <w:tcW w:type="dxa" w:w="1560"/>
            <w:shd w:val="clear" w:color="auto" w:fill="EBF3FB"/>
          </w:tcPr>
          <w:p>
            <w:pPr>
              <w:jc w:val="center"/>
            </w:pPr>
            <w:r>
              <w:rPr>
                <w:sz w:val="19"/>
              </w:rPr>
              <w:t>70.75</w:t>
            </w:r>
          </w:p>
        </w:tc>
      </w:tr>
      <w:tr>
        <w:tc>
          <w:tcPr>
            <w:tcW w:type="dxa" w:w="1560"/>
            <w:shd w:val="clear" w:color="auto" w:fill="FFFFFF"/>
          </w:tcPr>
          <w:p>
            <w:pPr>
              <w:jc w:val="center"/>
            </w:pPr>
            <w:r>
              <w:rPr>
                <w:sz w:val="19"/>
              </w:rPr>
              <w:t>Min</w:t>
            </w:r>
          </w:p>
        </w:tc>
        <w:tc>
          <w:tcPr>
            <w:tcW w:type="dxa" w:w="1560"/>
            <w:shd w:val="clear" w:color="auto" w:fill="FFFFFF"/>
          </w:tcPr>
          <w:p>
            <w:pPr>
              <w:jc w:val="center"/>
            </w:pPr>
            <w:r>
              <w:rPr>
                <w:sz w:val="19"/>
              </w:rPr>
              <w:t>0.07</w:t>
            </w:r>
          </w:p>
        </w:tc>
        <w:tc>
          <w:tcPr>
            <w:tcW w:type="dxa" w:w="1560"/>
            <w:shd w:val="clear" w:color="auto" w:fill="FFFFFF"/>
          </w:tcPr>
          <w:p>
            <w:pPr>
              <w:jc w:val="center"/>
            </w:pPr>
            <w:r>
              <w:rPr>
                <w:sz w:val="19"/>
              </w:rPr>
              <w:t>0.07</w:t>
            </w:r>
          </w:p>
        </w:tc>
        <w:tc>
          <w:tcPr>
            <w:tcW w:type="dxa" w:w="1560"/>
            <w:shd w:val="clear" w:color="auto" w:fill="FFFFFF"/>
          </w:tcPr>
          <w:p>
            <w:pPr>
              <w:jc w:val="center"/>
            </w:pPr>
            <w:r>
              <w:rPr>
                <w:sz w:val="19"/>
              </w:rPr>
              <w:t>0.07</w:t>
            </w:r>
          </w:p>
        </w:tc>
        <w:tc>
          <w:tcPr>
            <w:tcW w:type="dxa" w:w="1560"/>
            <w:shd w:val="clear" w:color="auto" w:fill="FFFFFF"/>
          </w:tcPr>
          <w:p>
            <w:pPr>
              <w:jc w:val="center"/>
            </w:pPr>
            <w:r>
              <w:rPr>
                <w:sz w:val="19"/>
              </w:rPr>
              <w:t>0.07</w:t>
            </w:r>
          </w:p>
        </w:tc>
        <w:tc>
          <w:tcPr>
            <w:tcW w:type="dxa" w:w="1560"/>
            <w:shd w:val="clear" w:color="auto" w:fill="FFFFFF"/>
          </w:tcPr>
          <w:p>
            <w:pPr>
              <w:jc w:val="center"/>
            </w:pPr>
            <w:r>
              <w:rPr>
                <w:sz w:val="19"/>
              </w:rPr>
              <w:t>0.07</w:t>
            </w:r>
          </w:p>
        </w:tc>
      </w:tr>
      <w:tr>
        <w:tc>
          <w:tcPr>
            <w:tcW w:type="dxa" w:w="1560"/>
            <w:shd w:val="clear" w:color="auto" w:fill="EBF3FB"/>
          </w:tcPr>
          <w:p>
            <w:pPr>
              <w:jc w:val="center"/>
            </w:pPr>
            <w:r>
              <w:rPr>
                <w:sz w:val="19"/>
              </w:rPr>
              <w:t>25%</w:t>
            </w:r>
          </w:p>
        </w:tc>
        <w:tc>
          <w:tcPr>
            <w:tcW w:type="dxa" w:w="1560"/>
            <w:shd w:val="clear" w:color="auto" w:fill="EBF3FB"/>
          </w:tcPr>
          <w:p>
            <w:pPr>
              <w:jc w:val="center"/>
            </w:pPr>
            <w:r>
              <w:rPr>
                <w:sz w:val="19"/>
              </w:rPr>
              <w:t>2.19</w:t>
            </w:r>
          </w:p>
        </w:tc>
        <w:tc>
          <w:tcPr>
            <w:tcW w:type="dxa" w:w="1560"/>
            <w:shd w:val="clear" w:color="auto" w:fill="EBF3FB"/>
          </w:tcPr>
          <w:p>
            <w:pPr>
              <w:jc w:val="center"/>
            </w:pPr>
            <w:r>
              <w:rPr>
                <w:sz w:val="19"/>
              </w:rPr>
              <w:t>2.24</w:t>
            </w:r>
          </w:p>
        </w:tc>
        <w:tc>
          <w:tcPr>
            <w:tcW w:type="dxa" w:w="1560"/>
            <w:shd w:val="clear" w:color="auto" w:fill="EBF3FB"/>
          </w:tcPr>
          <w:p>
            <w:pPr>
              <w:jc w:val="center"/>
            </w:pPr>
            <w:r>
              <w:rPr>
                <w:sz w:val="19"/>
              </w:rPr>
              <w:t>2.16</w:t>
            </w:r>
          </w:p>
        </w:tc>
        <w:tc>
          <w:tcPr>
            <w:tcW w:type="dxa" w:w="1560"/>
            <w:shd w:val="clear" w:color="auto" w:fill="EBF3FB"/>
          </w:tcPr>
          <w:p>
            <w:pPr>
              <w:jc w:val="center"/>
            </w:pPr>
            <w:r>
              <w:rPr>
                <w:sz w:val="19"/>
              </w:rPr>
              <w:t>2.20</w:t>
            </w:r>
          </w:p>
        </w:tc>
        <w:tc>
          <w:tcPr>
            <w:tcW w:type="dxa" w:w="1560"/>
            <w:shd w:val="clear" w:color="auto" w:fill="EBF3FB"/>
          </w:tcPr>
          <w:p>
            <w:pPr>
              <w:jc w:val="center"/>
            </w:pPr>
            <w:r>
              <w:rPr>
                <w:sz w:val="19"/>
              </w:rPr>
              <w:t>2.20</w:t>
            </w:r>
          </w:p>
        </w:tc>
      </w:tr>
      <w:tr>
        <w:tc>
          <w:tcPr>
            <w:tcW w:type="dxa" w:w="1560"/>
            <w:shd w:val="clear" w:color="auto" w:fill="FFFFFF"/>
          </w:tcPr>
          <w:p>
            <w:pPr>
              <w:jc w:val="center"/>
            </w:pPr>
            <w:r>
              <w:rPr>
                <w:sz w:val="19"/>
              </w:rPr>
              <w:t>50%</w:t>
            </w:r>
          </w:p>
        </w:tc>
        <w:tc>
          <w:tcPr>
            <w:tcW w:type="dxa" w:w="1560"/>
            <w:shd w:val="clear" w:color="auto" w:fill="FFFFFF"/>
          </w:tcPr>
          <w:p>
            <w:pPr>
              <w:jc w:val="center"/>
            </w:pPr>
            <w:r>
              <w:rPr>
                <w:sz w:val="19"/>
              </w:rPr>
              <w:t>10.43</w:t>
            </w:r>
          </w:p>
        </w:tc>
        <w:tc>
          <w:tcPr>
            <w:tcW w:type="dxa" w:w="1560"/>
            <w:shd w:val="clear" w:color="auto" w:fill="FFFFFF"/>
          </w:tcPr>
          <w:p>
            <w:pPr>
              <w:jc w:val="center"/>
            </w:pPr>
            <w:r>
              <w:rPr>
                <w:sz w:val="19"/>
              </w:rPr>
              <w:t>10.68</w:t>
            </w:r>
          </w:p>
        </w:tc>
        <w:tc>
          <w:tcPr>
            <w:tcW w:type="dxa" w:w="1560"/>
            <w:shd w:val="clear" w:color="auto" w:fill="FFFFFF"/>
          </w:tcPr>
          <w:p>
            <w:pPr>
              <w:jc w:val="center"/>
            </w:pPr>
            <w:r>
              <w:rPr>
                <w:sz w:val="19"/>
              </w:rPr>
              <w:t>10.30</w:t>
            </w:r>
          </w:p>
        </w:tc>
        <w:tc>
          <w:tcPr>
            <w:tcW w:type="dxa" w:w="1560"/>
            <w:shd w:val="clear" w:color="auto" w:fill="FFFFFF"/>
          </w:tcPr>
          <w:p>
            <w:pPr>
              <w:jc w:val="center"/>
            </w:pPr>
            <w:r>
              <w:rPr>
                <w:sz w:val="19"/>
              </w:rPr>
              <w:t>10.53</w:t>
            </w:r>
          </w:p>
        </w:tc>
        <w:tc>
          <w:tcPr>
            <w:tcW w:type="dxa" w:w="1560"/>
            <w:shd w:val="clear" w:color="auto" w:fill="FFFFFF"/>
          </w:tcPr>
          <w:p>
            <w:pPr>
              <w:jc w:val="center"/>
            </w:pPr>
            <w:r>
              <w:rPr>
                <w:sz w:val="19"/>
              </w:rPr>
              <w:t>10.53</w:t>
            </w:r>
          </w:p>
        </w:tc>
      </w:tr>
      <w:tr>
        <w:tc>
          <w:tcPr>
            <w:tcW w:type="dxa" w:w="1560"/>
            <w:shd w:val="clear" w:color="auto" w:fill="EBF3FB"/>
          </w:tcPr>
          <w:p>
            <w:pPr>
              <w:jc w:val="center"/>
            </w:pPr>
            <w:r>
              <w:rPr>
                <w:sz w:val="19"/>
              </w:rPr>
              <w:t>75%</w:t>
            </w:r>
          </w:p>
        </w:tc>
        <w:tc>
          <w:tcPr>
            <w:tcW w:type="dxa" w:w="1560"/>
            <w:shd w:val="clear" w:color="auto" w:fill="EBF3FB"/>
          </w:tcPr>
          <w:p>
            <w:pPr>
              <w:jc w:val="center"/>
            </w:pPr>
            <w:r>
              <w:rPr>
                <w:sz w:val="19"/>
              </w:rPr>
              <w:t>89.65</w:t>
            </w:r>
          </w:p>
        </w:tc>
        <w:tc>
          <w:tcPr>
            <w:tcW w:type="dxa" w:w="1560"/>
            <w:shd w:val="clear" w:color="auto" w:fill="EBF3FB"/>
          </w:tcPr>
          <w:p>
            <w:pPr>
              <w:jc w:val="center"/>
            </w:pPr>
            <w:r>
              <w:rPr>
                <w:sz w:val="19"/>
              </w:rPr>
              <w:t>90.30</w:t>
            </w:r>
          </w:p>
        </w:tc>
        <w:tc>
          <w:tcPr>
            <w:tcW w:type="dxa" w:w="1560"/>
            <w:shd w:val="clear" w:color="auto" w:fill="EBF3FB"/>
          </w:tcPr>
          <w:p>
            <w:pPr>
              <w:jc w:val="center"/>
            </w:pPr>
            <w:r>
              <w:rPr>
                <w:sz w:val="19"/>
              </w:rPr>
              <w:t>88.60</w:t>
            </w:r>
          </w:p>
        </w:tc>
        <w:tc>
          <w:tcPr>
            <w:tcW w:type="dxa" w:w="1560"/>
            <w:shd w:val="clear" w:color="auto" w:fill="EBF3FB"/>
          </w:tcPr>
          <w:p>
            <w:pPr>
              <w:jc w:val="center"/>
            </w:pPr>
            <w:r>
              <w:rPr>
                <w:sz w:val="19"/>
              </w:rPr>
              <w:t>89.58</w:t>
            </w:r>
          </w:p>
        </w:tc>
        <w:tc>
          <w:tcPr>
            <w:tcW w:type="dxa" w:w="1560"/>
            <w:shd w:val="clear" w:color="auto" w:fill="EBF3FB"/>
          </w:tcPr>
          <w:p>
            <w:pPr>
              <w:jc w:val="center"/>
            </w:pPr>
            <w:r>
              <w:rPr>
                <w:sz w:val="19"/>
              </w:rPr>
              <w:t>89.58</w:t>
            </w:r>
          </w:p>
        </w:tc>
      </w:tr>
      <w:tr>
        <w:tc>
          <w:tcPr>
            <w:tcW w:type="dxa" w:w="1560"/>
            <w:shd w:val="clear" w:color="auto" w:fill="FFFFFF"/>
          </w:tcPr>
          <w:p>
            <w:pPr>
              <w:jc w:val="center"/>
            </w:pPr>
            <w:r>
              <w:rPr>
                <w:sz w:val="19"/>
              </w:rPr>
              <w:t>Max</w:t>
            </w:r>
          </w:p>
        </w:tc>
        <w:tc>
          <w:tcPr>
            <w:tcW w:type="dxa" w:w="1560"/>
            <w:shd w:val="clear" w:color="auto" w:fill="FFFFFF"/>
          </w:tcPr>
          <w:p>
            <w:pPr>
              <w:jc w:val="center"/>
            </w:pPr>
            <w:r>
              <w:rPr>
                <w:sz w:val="19"/>
              </w:rPr>
              <w:t>281.59</w:t>
            </w:r>
          </w:p>
        </w:tc>
        <w:tc>
          <w:tcPr>
            <w:tcW w:type="dxa" w:w="1560"/>
            <w:shd w:val="clear" w:color="auto" w:fill="FFFFFF"/>
          </w:tcPr>
          <w:p>
            <w:pPr>
              <w:jc w:val="center"/>
            </w:pPr>
            <w:r>
              <w:rPr>
                <w:sz w:val="19"/>
              </w:rPr>
              <w:t>287.20</w:t>
            </w:r>
          </w:p>
        </w:tc>
        <w:tc>
          <w:tcPr>
            <w:tcW w:type="dxa" w:w="1560"/>
            <w:shd w:val="clear" w:color="auto" w:fill="FFFFFF"/>
          </w:tcPr>
          <w:p>
            <w:pPr>
              <w:jc w:val="center"/>
            </w:pPr>
            <w:r>
              <w:rPr>
                <w:sz w:val="19"/>
              </w:rPr>
              <w:t>278.00</w:t>
            </w:r>
          </w:p>
        </w:tc>
        <w:tc>
          <w:tcPr>
            <w:tcW w:type="dxa" w:w="1560"/>
            <w:shd w:val="clear" w:color="auto" w:fill="FFFFFF"/>
          </w:tcPr>
          <w:p>
            <w:pPr>
              <w:jc w:val="center"/>
            </w:pPr>
            <w:r>
              <w:rPr>
                <w:sz w:val="19"/>
              </w:rPr>
              <w:t>284.02</w:t>
            </w:r>
          </w:p>
        </w:tc>
        <w:tc>
          <w:tcPr>
            <w:tcW w:type="dxa" w:w="1560"/>
            <w:shd w:val="clear" w:color="auto" w:fill="FFFFFF"/>
          </w:tcPr>
          <w:p>
            <w:pPr>
              <w:jc w:val="center"/>
            </w:pPr>
            <w:r>
              <w:rPr>
                <w:sz w:val="19"/>
              </w:rPr>
              <w:t>284.02</w:t>
            </w:r>
          </w:p>
        </w:tc>
      </w:tr>
    </w:tbl>
    <w:p>
      <w:r>
        <w:br w:type="page"/>
      </w:r>
    </w:p>
    <w:p>
      <w:pPr>
        <w:pStyle w:val="Heading1"/>
        <w:spacing w:before="240" w:after="80"/>
      </w:pPr>
      <w:r>
        <w:rPr>
          <w:color w:val="1F77B4"/>
        </w:rPr>
        <w:t>3. Exploratory Data Analysis</w:t>
      </w:r>
    </w:p>
    <w:p>
      <w:pPr>
        <w:pBdr>
          <w:bottom w:val="single" w:sz="4" w:space="1" w:color="1F77B4"/>
        </w:pBdr>
      </w:pPr>
    </w:p>
    <w:p>
      <w:pPr>
        <w:pStyle w:val="Heading2"/>
        <w:spacing w:before="240" w:after="80"/>
      </w:pPr>
      <w:r>
        <w:t>3.1  Full Price History</w:t>
      </w:r>
    </w:p>
    <w:p>
      <w:pPr>
        <w:spacing w:before="40" w:after="80"/>
      </w:pPr>
      <w:r>
        <w:rPr>
          <w:b w:val="0"/>
          <w:i w:val="0"/>
          <w:sz w:val="21"/>
        </w:rPr>
        <w:t>Amazon's stock grew from $0.07 at IPO to a peak of $284.02, representing a 406,852× return. The chart below uses a logarithmic scale to show growth across all price regimes.</w:t>
      </w:r>
    </w:p>
    <w:p>
      <w:pPr>
        <w:jc w:val="center"/>
      </w:pPr>
      <w:r>
        <w:drawing>
          <wp:inline xmlns:a="http://schemas.openxmlformats.org/drawingml/2006/main" xmlns:pic="http://schemas.openxmlformats.org/drawingml/2006/picture">
            <wp:extent cx="5669280" cy="1992277"/>
            <wp:docPr id="1" name="Picture 1"/>
            <wp:cNvGraphicFramePr>
              <a:graphicFrameLocks noChangeAspect="1"/>
            </wp:cNvGraphicFramePr>
            <a:graphic>
              <a:graphicData uri="http://schemas.openxmlformats.org/drawingml/2006/picture">
                <pic:pic>
                  <pic:nvPicPr>
                    <pic:cNvPr id="0" name="01_full_price_history.png"/>
                    <pic:cNvPicPr/>
                  </pic:nvPicPr>
                  <pic:blipFill>
                    <a:blip r:embed="rId9"/>
                    <a:stretch>
                      <a:fillRect/>
                    </a:stretch>
                  </pic:blipFill>
                  <pic:spPr>
                    <a:xfrm>
                      <a:off x="0" y="0"/>
                      <a:ext cx="5669280" cy="1992277"/>
                    </a:xfrm>
                    <a:prstGeom prst="rect"/>
                  </pic:spPr>
                </pic:pic>
              </a:graphicData>
            </a:graphic>
          </wp:inline>
        </w:drawing>
      </w:r>
    </w:p>
    <w:p>
      <w:pPr>
        <w:jc w:val="center"/>
      </w:pPr>
      <w:r>
        <w:rPr>
          <w:i/>
          <w:color w:val="57606A"/>
          <w:sz w:val="18"/>
        </w:rPr>
        <w:t>Figure 1 — Amazon Full Price History 1997–2026 (Log Scale)</w:t>
      </w:r>
    </w:p>
    <w:p>
      <w:pPr>
        <w:pStyle w:val="Heading2"/>
        <w:spacing w:before="240" w:after="80"/>
      </w:pPr>
      <w:r>
        <w:t>3.2  OHLC Candlestick (Recent 3 Months)</w:t>
      </w:r>
    </w:p>
    <w:p>
      <w:pPr>
        <w:spacing w:before="40" w:after="80"/>
      </w:pPr>
      <w:r>
        <w:rPr>
          <w:b w:val="0"/>
          <w:i w:val="0"/>
          <w:sz w:val="21"/>
        </w:rPr>
        <w:t>Green bars represent up-days (Close ≥ Open); red bars represent down-days.</w:t>
      </w:r>
    </w:p>
    <w:p>
      <w:pPr>
        <w:jc w:val="center"/>
      </w:pPr>
      <w:r>
        <w:drawing>
          <wp:inline xmlns:a="http://schemas.openxmlformats.org/drawingml/2006/main" xmlns:pic="http://schemas.openxmlformats.org/drawingml/2006/picture">
            <wp:extent cx="5669280" cy="1991321"/>
            <wp:docPr id="2" name="Picture 2"/>
            <wp:cNvGraphicFramePr>
              <a:graphicFrameLocks noChangeAspect="1"/>
            </wp:cNvGraphicFramePr>
            <a:graphic>
              <a:graphicData uri="http://schemas.openxmlformats.org/drawingml/2006/picture">
                <pic:pic>
                  <pic:nvPicPr>
                    <pic:cNvPr id="0" name="02_ohlc_candlestick.png"/>
                    <pic:cNvPicPr/>
                  </pic:nvPicPr>
                  <pic:blipFill>
                    <a:blip r:embed="rId10"/>
                    <a:stretch>
                      <a:fillRect/>
                    </a:stretch>
                  </pic:blipFill>
                  <pic:spPr>
                    <a:xfrm>
                      <a:off x="0" y="0"/>
                      <a:ext cx="5669280" cy="1991321"/>
                    </a:xfrm>
                    <a:prstGeom prst="rect"/>
                  </pic:spPr>
                </pic:pic>
              </a:graphicData>
            </a:graphic>
          </wp:inline>
        </w:drawing>
      </w:r>
    </w:p>
    <w:p>
      <w:pPr>
        <w:jc w:val="center"/>
      </w:pPr>
      <w:r>
        <w:rPr>
          <w:i/>
          <w:color w:val="57606A"/>
          <w:sz w:val="18"/>
        </w:rPr>
        <w:t>Figure 2 — OHLC Candlestick Chart (Last 3 Months)</w:t>
      </w:r>
    </w:p>
    <w:p>
      <w:pPr>
        <w:pStyle w:val="Heading2"/>
        <w:spacing w:before="240" w:after="80"/>
      </w:pPr>
      <w:r>
        <w:t>3.3  Annual Returns</w:t>
      </w:r>
    </w:p>
    <w:p>
      <w:pPr>
        <w:spacing w:before="40" w:after="80"/>
      </w:pPr>
      <w:r>
        <w:rPr>
          <w:b w:val="0"/>
          <w:i w:val="0"/>
          <w:sz w:val="21"/>
        </w:rPr>
        <w:t>Annual return analysis from 2010 onwards with signal distribution breakdown:</w:t>
      </w:r>
    </w:p>
    <w:p>
      <w:pPr>
        <w:jc w:val="center"/>
      </w:pPr>
      <w:r>
        <w:drawing>
          <wp:inline xmlns:a="http://schemas.openxmlformats.org/drawingml/2006/main" xmlns:pic="http://schemas.openxmlformats.org/drawingml/2006/picture">
            <wp:extent cx="5669280" cy="2591571"/>
            <wp:docPr id="3" name="Picture 3"/>
            <wp:cNvGraphicFramePr>
              <a:graphicFrameLocks noChangeAspect="1"/>
            </wp:cNvGraphicFramePr>
            <a:graphic>
              <a:graphicData uri="http://schemas.openxmlformats.org/drawingml/2006/picture">
                <pic:pic>
                  <pic:nvPicPr>
                    <pic:cNvPr id="0" name="16_signal_distribution.png"/>
                    <pic:cNvPicPr/>
                  </pic:nvPicPr>
                  <pic:blipFill>
                    <a:blip r:embed="rId11"/>
                    <a:stretch>
                      <a:fillRect/>
                    </a:stretch>
                  </pic:blipFill>
                  <pic:spPr>
                    <a:xfrm>
                      <a:off x="0" y="0"/>
                      <a:ext cx="5669280" cy="2591571"/>
                    </a:xfrm>
                    <a:prstGeom prst="rect"/>
                  </pic:spPr>
                </pic:pic>
              </a:graphicData>
            </a:graphic>
          </wp:inline>
        </w:drawing>
      </w:r>
    </w:p>
    <w:p>
      <w:pPr>
        <w:jc w:val="center"/>
      </w:pPr>
      <w:r>
        <w:rPr>
          <w:i/>
          <w:color w:val="57606A"/>
          <w:sz w:val="18"/>
        </w:rPr>
        <w:t>Figure 3 — Annual Return % &amp; Signal Distribution (2010–2026)</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F77B4"/>
            <w:vAlign w:val="center"/>
          </w:tcPr>
          <w:p>
            <w:pPr>
              <w:jc w:val="center"/>
            </w:pPr>
            <w:r>
              <w:rPr>
                <w:b/>
                <w:color w:val="FFFFFF"/>
                <w:sz w:val="19"/>
              </w:rPr>
              <w:t>Year</w:t>
            </w:r>
          </w:p>
        </w:tc>
        <w:tc>
          <w:tcPr>
            <w:tcW w:type="dxa" w:w="2160"/>
            <w:shd w:val="clear" w:color="auto" w:fill="1F77B4"/>
            <w:vAlign w:val="center"/>
          </w:tcPr>
          <w:p>
            <w:pPr>
              <w:jc w:val="center"/>
            </w:pPr>
            <w:r>
              <w:rPr>
                <w:b/>
                <w:color w:val="FFFFFF"/>
                <w:sz w:val="19"/>
              </w:rPr>
              <w:t>Return (%)</w:t>
            </w:r>
          </w:p>
        </w:tc>
      </w:tr>
      <w:tr>
        <w:tc>
          <w:tcPr>
            <w:tcW w:type="dxa" w:w="2160"/>
            <w:shd w:val="clear" w:color="auto" w:fill="EBF3FB"/>
          </w:tcPr>
          <w:p>
            <w:pPr>
              <w:jc w:val="center"/>
            </w:pPr>
            <w:r>
              <w:rPr>
                <w:sz w:val="19"/>
              </w:rPr>
              <w:t>2010</w:t>
            </w:r>
          </w:p>
        </w:tc>
        <w:tc>
          <w:tcPr>
            <w:tcW w:type="dxa" w:w="2160"/>
            <w:shd w:val="clear" w:color="auto" w:fill="EBF3FB"/>
          </w:tcPr>
          <w:p>
            <w:pPr>
              <w:jc w:val="center"/>
            </w:pPr>
            <w:r>
              <w:rPr>
                <w:sz w:val="19"/>
              </w:rPr>
              <w:t>+33.8%</w:t>
            </w:r>
          </w:p>
        </w:tc>
      </w:tr>
      <w:tr>
        <w:tc>
          <w:tcPr>
            <w:tcW w:type="dxa" w:w="2160"/>
            <w:shd w:val="clear" w:color="auto" w:fill="FFFFFF"/>
          </w:tcPr>
          <w:p>
            <w:pPr>
              <w:jc w:val="center"/>
            </w:pPr>
            <w:r>
              <w:rPr>
                <w:sz w:val="19"/>
              </w:rPr>
              <w:t>2011</w:t>
            </w:r>
          </w:p>
        </w:tc>
        <w:tc>
          <w:tcPr>
            <w:tcW w:type="dxa" w:w="2160"/>
            <w:shd w:val="clear" w:color="auto" w:fill="FFFFFF"/>
          </w:tcPr>
          <w:p>
            <w:pPr>
              <w:jc w:val="center"/>
            </w:pPr>
            <w:r>
              <w:rPr>
                <w:sz w:val="19"/>
              </w:rPr>
              <w:t>-3.8%</w:t>
            </w:r>
          </w:p>
        </w:tc>
      </w:tr>
      <w:tr>
        <w:tc>
          <w:tcPr>
            <w:tcW w:type="dxa" w:w="2160"/>
            <w:shd w:val="clear" w:color="auto" w:fill="EBF3FB"/>
          </w:tcPr>
          <w:p>
            <w:pPr>
              <w:jc w:val="center"/>
            </w:pPr>
            <w:r>
              <w:rPr>
                <w:sz w:val="19"/>
              </w:rPr>
              <w:t>2012</w:t>
            </w:r>
          </w:p>
        </w:tc>
        <w:tc>
          <w:tcPr>
            <w:tcW w:type="dxa" w:w="2160"/>
            <w:shd w:val="clear" w:color="auto" w:fill="EBF3FB"/>
          </w:tcPr>
          <w:p>
            <w:pPr>
              <w:jc w:val="center"/>
            </w:pPr>
            <w:r>
              <w:rPr>
                <w:sz w:val="19"/>
              </w:rPr>
              <w:t>+44.9%</w:t>
            </w:r>
          </w:p>
        </w:tc>
      </w:tr>
      <w:tr>
        <w:tc>
          <w:tcPr>
            <w:tcW w:type="dxa" w:w="2160"/>
            <w:shd w:val="clear" w:color="auto" w:fill="FFFFFF"/>
          </w:tcPr>
          <w:p>
            <w:pPr>
              <w:jc w:val="center"/>
            </w:pPr>
            <w:r>
              <w:rPr>
                <w:sz w:val="19"/>
              </w:rPr>
              <w:t>2013</w:t>
            </w:r>
          </w:p>
        </w:tc>
        <w:tc>
          <w:tcPr>
            <w:tcW w:type="dxa" w:w="2160"/>
            <w:shd w:val="clear" w:color="auto" w:fill="FFFFFF"/>
          </w:tcPr>
          <w:p>
            <w:pPr>
              <w:jc w:val="center"/>
            </w:pPr>
            <w:r>
              <w:rPr>
                <w:sz w:val="19"/>
              </w:rPr>
              <w:t>+59.0%</w:t>
            </w:r>
          </w:p>
        </w:tc>
      </w:tr>
      <w:tr>
        <w:tc>
          <w:tcPr>
            <w:tcW w:type="dxa" w:w="2160"/>
            <w:shd w:val="clear" w:color="auto" w:fill="EBF3FB"/>
          </w:tcPr>
          <w:p>
            <w:pPr>
              <w:jc w:val="center"/>
            </w:pPr>
            <w:r>
              <w:rPr>
                <w:sz w:val="19"/>
              </w:rPr>
              <w:t>2014</w:t>
            </w:r>
          </w:p>
        </w:tc>
        <w:tc>
          <w:tcPr>
            <w:tcW w:type="dxa" w:w="2160"/>
            <w:shd w:val="clear" w:color="auto" w:fill="EBF3FB"/>
          </w:tcPr>
          <w:p>
            <w:pPr>
              <w:jc w:val="center"/>
            </w:pPr>
            <w:r>
              <w:rPr>
                <w:sz w:val="19"/>
              </w:rPr>
              <w:t>-22.2%</w:t>
            </w:r>
          </w:p>
        </w:tc>
      </w:tr>
      <w:tr>
        <w:tc>
          <w:tcPr>
            <w:tcW w:type="dxa" w:w="2160"/>
            <w:shd w:val="clear" w:color="auto" w:fill="FFFFFF"/>
          </w:tcPr>
          <w:p>
            <w:pPr>
              <w:jc w:val="center"/>
            </w:pPr>
            <w:r>
              <w:rPr>
                <w:sz w:val="19"/>
              </w:rPr>
              <w:t>2015</w:t>
            </w:r>
          </w:p>
        </w:tc>
        <w:tc>
          <w:tcPr>
            <w:tcW w:type="dxa" w:w="2160"/>
            <w:shd w:val="clear" w:color="auto" w:fill="FFFFFF"/>
          </w:tcPr>
          <w:p>
            <w:pPr>
              <w:jc w:val="center"/>
            </w:pPr>
            <w:r>
              <w:rPr>
                <w:sz w:val="19"/>
              </w:rPr>
              <w:t>+117.8%</w:t>
            </w:r>
          </w:p>
        </w:tc>
      </w:tr>
      <w:tr>
        <w:tc>
          <w:tcPr>
            <w:tcW w:type="dxa" w:w="2160"/>
            <w:shd w:val="clear" w:color="auto" w:fill="EBF3FB"/>
          </w:tcPr>
          <w:p>
            <w:pPr>
              <w:jc w:val="center"/>
            </w:pPr>
            <w:r>
              <w:rPr>
                <w:sz w:val="19"/>
              </w:rPr>
              <w:t>2016</w:t>
            </w:r>
          </w:p>
        </w:tc>
        <w:tc>
          <w:tcPr>
            <w:tcW w:type="dxa" w:w="2160"/>
            <w:shd w:val="clear" w:color="auto" w:fill="EBF3FB"/>
          </w:tcPr>
          <w:p>
            <w:pPr>
              <w:jc w:val="center"/>
            </w:pPr>
            <w:r>
              <w:rPr>
                <w:sz w:val="19"/>
              </w:rPr>
              <w:t>+10.9%</w:t>
            </w:r>
          </w:p>
        </w:tc>
      </w:tr>
      <w:tr>
        <w:tc>
          <w:tcPr>
            <w:tcW w:type="dxa" w:w="2160"/>
            <w:shd w:val="clear" w:color="auto" w:fill="FFFFFF"/>
          </w:tcPr>
          <w:p>
            <w:pPr>
              <w:jc w:val="center"/>
            </w:pPr>
            <w:r>
              <w:rPr>
                <w:sz w:val="19"/>
              </w:rPr>
              <w:t>2017</w:t>
            </w:r>
          </w:p>
        </w:tc>
        <w:tc>
          <w:tcPr>
            <w:tcW w:type="dxa" w:w="2160"/>
            <w:shd w:val="clear" w:color="auto" w:fill="FFFFFF"/>
          </w:tcPr>
          <w:p>
            <w:pPr>
              <w:jc w:val="center"/>
            </w:pPr>
            <w:r>
              <w:rPr>
                <w:sz w:val="19"/>
              </w:rPr>
              <w:t>+56.0%</w:t>
            </w:r>
          </w:p>
        </w:tc>
      </w:tr>
      <w:tr>
        <w:tc>
          <w:tcPr>
            <w:tcW w:type="dxa" w:w="2160"/>
            <w:shd w:val="clear" w:color="auto" w:fill="EBF3FB"/>
          </w:tcPr>
          <w:p>
            <w:pPr>
              <w:jc w:val="center"/>
            </w:pPr>
            <w:r>
              <w:rPr>
                <w:sz w:val="19"/>
              </w:rPr>
              <w:t>2018</w:t>
            </w:r>
          </w:p>
        </w:tc>
        <w:tc>
          <w:tcPr>
            <w:tcW w:type="dxa" w:w="2160"/>
            <w:shd w:val="clear" w:color="auto" w:fill="EBF3FB"/>
          </w:tcPr>
          <w:p>
            <w:pPr>
              <w:jc w:val="center"/>
            </w:pPr>
            <w:r>
              <w:rPr>
                <w:sz w:val="19"/>
              </w:rPr>
              <w:t>+28.4%</w:t>
            </w:r>
          </w:p>
        </w:tc>
      </w:tr>
      <w:tr>
        <w:tc>
          <w:tcPr>
            <w:tcW w:type="dxa" w:w="2160"/>
            <w:shd w:val="clear" w:color="auto" w:fill="FFFFFF"/>
          </w:tcPr>
          <w:p>
            <w:pPr>
              <w:jc w:val="center"/>
            </w:pPr>
            <w:r>
              <w:rPr>
                <w:sz w:val="19"/>
              </w:rPr>
              <w:t>2019</w:t>
            </w:r>
          </w:p>
        </w:tc>
        <w:tc>
          <w:tcPr>
            <w:tcW w:type="dxa" w:w="2160"/>
            <w:shd w:val="clear" w:color="auto" w:fill="FFFFFF"/>
          </w:tcPr>
          <w:p>
            <w:pPr>
              <w:jc w:val="center"/>
            </w:pPr>
            <w:r>
              <w:rPr>
                <w:sz w:val="19"/>
              </w:rPr>
              <w:t>+23.0%</w:t>
            </w:r>
          </w:p>
        </w:tc>
      </w:tr>
      <w:tr>
        <w:tc>
          <w:tcPr>
            <w:tcW w:type="dxa" w:w="2160"/>
            <w:shd w:val="clear" w:color="auto" w:fill="EBF3FB"/>
          </w:tcPr>
          <w:p>
            <w:pPr>
              <w:jc w:val="center"/>
            </w:pPr>
            <w:r>
              <w:rPr>
                <w:sz w:val="19"/>
              </w:rPr>
              <w:t>2020</w:t>
            </w:r>
          </w:p>
        </w:tc>
        <w:tc>
          <w:tcPr>
            <w:tcW w:type="dxa" w:w="2160"/>
            <w:shd w:val="clear" w:color="auto" w:fill="EBF3FB"/>
          </w:tcPr>
          <w:p>
            <w:pPr>
              <w:jc w:val="center"/>
            </w:pPr>
            <w:r>
              <w:rPr>
                <w:sz w:val="19"/>
              </w:rPr>
              <w:t>+76.3%</w:t>
            </w:r>
          </w:p>
        </w:tc>
      </w:tr>
      <w:tr>
        <w:tc>
          <w:tcPr>
            <w:tcW w:type="dxa" w:w="2160"/>
            <w:shd w:val="clear" w:color="auto" w:fill="FFFFFF"/>
          </w:tcPr>
          <w:p>
            <w:pPr>
              <w:jc w:val="center"/>
            </w:pPr>
            <w:r>
              <w:rPr>
                <w:sz w:val="19"/>
              </w:rPr>
              <w:t>2021</w:t>
            </w:r>
          </w:p>
        </w:tc>
        <w:tc>
          <w:tcPr>
            <w:tcW w:type="dxa" w:w="2160"/>
            <w:shd w:val="clear" w:color="auto" w:fill="FFFFFF"/>
          </w:tcPr>
          <w:p>
            <w:pPr>
              <w:jc w:val="center"/>
            </w:pPr>
            <w:r>
              <w:rPr>
                <w:sz w:val="19"/>
              </w:rPr>
              <w:t>+2.4%</w:t>
            </w:r>
          </w:p>
        </w:tc>
      </w:tr>
      <w:tr>
        <w:tc>
          <w:tcPr>
            <w:tcW w:type="dxa" w:w="2160"/>
            <w:shd w:val="clear" w:color="auto" w:fill="EBF3FB"/>
          </w:tcPr>
          <w:p>
            <w:pPr>
              <w:jc w:val="center"/>
            </w:pPr>
            <w:r>
              <w:rPr>
                <w:sz w:val="19"/>
              </w:rPr>
              <w:t>2022</w:t>
            </w:r>
          </w:p>
        </w:tc>
        <w:tc>
          <w:tcPr>
            <w:tcW w:type="dxa" w:w="2160"/>
            <w:shd w:val="clear" w:color="auto" w:fill="EBF3FB"/>
          </w:tcPr>
          <w:p>
            <w:pPr>
              <w:jc w:val="center"/>
            </w:pPr>
            <w:r>
              <w:rPr>
                <w:sz w:val="19"/>
              </w:rPr>
              <w:t>-49.6%</w:t>
            </w:r>
          </w:p>
        </w:tc>
      </w:tr>
      <w:tr>
        <w:tc>
          <w:tcPr>
            <w:tcW w:type="dxa" w:w="2160"/>
            <w:shd w:val="clear" w:color="auto" w:fill="FFFFFF"/>
          </w:tcPr>
          <w:p>
            <w:pPr>
              <w:jc w:val="center"/>
            </w:pPr>
            <w:r>
              <w:rPr>
                <w:sz w:val="19"/>
              </w:rPr>
              <w:t>2023</w:t>
            </w:r>
          </w:p>
        </w:tc>
        <w:tc>
          <w:tcPr>
            <w:tcW w:type="dxa" w:w="2160"/>
            <w:shd w:val="clear" w:color="auto" w:fill="FFFFFF"/>
          </w:tcPr>
          <w:p>
            <w:pPr>
              <w:jc w:val="center"/>
            </w:pPr>
            <w:r>
              <w:rPr>
                <w:sz w:val="19"/>
              </w:rPr>
              <w:t>+80.9%</w:t>
            </w:r>
          </w:p>
        </w:tc>
      </w:tr>
      <w:tr>
        <w:tc>
          <w:tcPr>
            <w:tcW w:type="dxa" w:w="2160"/>
            <w:shd w:val="clear" w:color="auto" w:fill="EBF3FB"/>
          </w:tcPr>
          <w:p>
            <w:pPr>
              <w:jc w:val="center"/>
            </w:pPr>
            <w:r>
              <w:rPr>
                <w:sz w:val="19"/>
              </w:rPr>
              <w:t>2024</w:t>
            </w:r>
          </w:p>
        </w:tc>
        <w:tc>
          <w:tcPr>
            <w:tcW w:type="dxa" w:w="2160"/>
            <w:shd w:val="clear" w:color="auto" w:fill="EBF3FB"/>
          </w:tcPr>
          <w:p>
            <w:pPr>
              <w:jc w:val="center"/>
            </w:pPr>
            <w:r>
              <w:rPr>
                <w:sz w:val="19"/>
              </w:rPr>
              <w:t>+44.4%</w:t>
            </w:r>
          </w:p>
        </w:tc>
      </w:tr>
      <w:tr>
        <w:tc>
          <w:tcPr>
            <w:tcW w:type="dxa" w:w="2160"/>
            <w:shd w:val="clear" w:color="auto" w:fill="FFFFFF"/>
          </w:tcPr>
          <w:p>
            <w:pPr>
              <w:jc w:val="center"/>
            </w:pPr>
            <w:r>
              <w:rPr>
                <w:sz w:val="19"/>
              </w:rPr>
              <w:t>2025</w:t>
            </w:r>
          </w:p>
        </w:tc>
        <w:tc>
          <w:tcPr>
            <w:tcW w:type="dxa" w:w="2160"/>
            <w:shd w:val="clear" w:color="auto" w:fill="FFFFFF"/>
          </w:tcPr>
          <w:p>
            <w:pPr>
              <w:jc w:val="center"/>
            </w:pPr>
            <w:r>
              <w:rPr>
                <w:sz w:val="19"/>
              </w:rPr>
              <w:t>+5.2%</w:t>
            </w:r>
          </w:p>
        </w:tc>
      </w:tr>
      <w:tr>
        <w:tc>
          <w:tcPr>
            <w:tcW w:type="dxa" w:w="2160"/>
            <w:shd w:val="clear" w:color="auto" w:fill="EBF3FB"/>
          </w:tcPr>
          <w:p>
            <w:pPr>
              <w:jc w:val="center"/>
            </w:pPr>
            <w:r>
              <w:rPr>
                <w:sz w:val="19"/>
              </w:rPr>
              <w:t>2026</w:t>
            </w:r>
          </w:p>
        </w:tc>
        <w:tc>
          <w:tcPr>
            <w:tcW w:type="dxa" w:w="2160"/>
            <w:shd w:val="clear" w:color="auto" w:fill="EBF3FB"/>
          </w:tcPr>
          <w:p>
            <w:pPr>
              <w:jc w:val="center"/>
            </w:pPr>
            <w:r>
              <w:rPr>
                <w:sz w:val="19"/>
              </w:rPr>
              <w:t>+12.0%</w:t>
            </w:r>
          </w:p>
        </w:tc>
      </w:tr>
    </w:tbl>
    <w:p>
      <w:pPr>
        <w:pStyle w:val="Heading2"/>
        <w:spacing w:before="240" w:after="80"/>
      </w:pPr>
      <w:r>
        <w:t>3.4  Return Distribution</w:t>
      </w:r>
    </w:p>
    <w:p>
      <w:pPr>
        <w:spacing w:before="40" w:after="80"/>
      </w:pPr>
      <w:r>
        <w:rPr>
          <w:b w:val="0"/>
          <w:i w:val="0"/>
          <w:sz w:val="21"/>
        </w:rPr>
        <w:t>Daily return statistics: Mean=0.1655%, Std=3.46%, Skew=1.068, Kurt=11.564. The distribution shows slight positive skew with fat tails, typical of equity returns.</w:t>
      </w:r>
    </w:p>
    <w:p>
      <w:pPr>
        <w:jc w:val="center"/>
      </w:pPr>
      <w:r>
        <w:drawing>
          <wp:inline xmlns:a="http://schemas.openxmlformats.org/drawingml/2006/main" xmlns:pic="http://schemas.openxmlformats.org/drawingml/2006/picture">
            <wp:extent cx="5669280" cy="1615908"/>
            <wp:docPr id="4" name="Picture 4"/>
            <wp:cNvGraphicFramePr>
              <a:graphicFrameLocks noChangeAspect="1"/>
            </wp:cNvGraphicFramePr>
            <a:graphic>
              <a:graphicData uri="http://schemas.openxmlformats.org/drawingml/2006/picture">
                <pic:pic>
                  <pic:nvPicPr>
                    <pic:cNvPr id="0" name="08_returns_distribution.png"/>
                    <pic:cNvPicPr/>
                  </pic:nvPicPr>
                  <pic:blipFill>
                    <a:blip r:embed="rId12"/>
                    <a:stretch>
                      <a:fillRect/>
                    </a:stretch>
                  </pic:blipFill>
                  <pic:spPr>
                    <a:xfrm>
                      <a:off x="0" y="0"/>
                      <a:ext cx="5669280" cy="1615908"/>
                    </a:xfrm>
                    <a:prstGeom prst="rect"/>
                  </pic:spPr>
                </pic:pic>
              </a:graphicData>
            </a:graphic>
          </wp:inline>
        </w:drawing>
      </w:r>
    </w:p>
    <w:p>
      <w:pPr>
        <w:jc w:val="center"/>
      </w:pPr>
      <w:r>
        <w:rPr>
          <w:i/>
          <w:color w:val="57606A"/>
          <w:sz w:val="18"/>
        </w:rPr>
        <w:t>Figure 4 — Daily Return Distribution &amp; Cumulative Return</w:t>
      </w:r>
    </w:p>
    <w:p>
      <w:r>
        <w:br w:type="page"/>
      </w:r>
    </w:p>
    <w:p>
      <w:pPr>
        <w:pStyle w:val="Heading1"/>
        <w:spacing w:before="240" w:after="80"/>
      </w:pPr>
      <w:r>
        <w:rPr>
          <w:color w:val="1F77B4"/>
        </w:rPr>
        <w:t>4. Technical Indicators</w:t>
      </w:r>
    </w:p>
    <w:p>
      <w:pPr>
        <w:pBdr>
          <w:bottom w:val="single" w:sz="4" w:space="1" w:color="1F77B4"/>
        </w:pBdr>
      </w:pPr>
    </w:p>
    <w:p>
      <w:pPr>
        <w:pStyle w:val="Heading2"/>
        <w:spacing w:before="240" w:after="80"/>
      </w:pPr>
      <w:r>
        <w:t>4.1  Price &amp; Moving Averages</w:t>
      </w:r>
    </w:p>
    <w:p>
      <w:pPr>
        <w:spacing w:before="40" w:after="80"/>
      </w:pPr>
      <w:r>
        <w:rPr>
          <w:b w:val="0"/>
          <w:i w:val="0"/>
          <w:sz w:val="21"/>
        </w:rPr>
        <w:t>Moving averages smooth price action and identify trend direction. SMA-20 (short-term), SMA-50 (medium-term), SMA-200 (long-term). A 'Golden Cross' (SMA-50 crossing above SMA-200) signals bullish momentum. Bollinger Bands show price volatility: bands widen in volatile periods, narrow in calm ones.</w:t>
      </w:r>
    </w:p>
    <w:p>
      <w:pPr>
        <w:jc w:val="center"/>
      </w:pPr>
      <w:r>
        <w:drawing>
          <wp:inline xmlns:a="http://schemas.openxmlformats.org/drawingml/2006/main" xmlns:pic="http://schemas.openxmlformats.org/drawingml/2006/picture">
            <wp:extent cx="5669280" cy="1991321"/>
            <wp:docPr id="5" name="Picture 5"/>
            <wp:cNvGraphicFramePr>
              <a:graphicFrameLocks noChangeAspect="1"/>
            </wp:cNvGraphicFramePr>
            <a:graphic>
              <a:graphicData uri="http://schemas.openxmlformats.org/drawingml/2006/picture">
                <pic:pic>
                  <pic:nvPicPr>
                    <pic:cNvPr id="0" name="03_price_moving_averages.png"/>
                    <pic:cNvPicPr/>
                  </pic:nvPicPr>
                  <pic:blipFill>
                    <a:blip r:embed="rId13"/>
                    <a:stretch>
                      <a:fillRect/>
                    </a:stretch>
                  </pic:blipFill>
                  <pic:spPr>
                    <a:xfrm>
                      <a:off x="0" y="0"/>
                      <a:ext cx="5669280" cy="1991321"/>
                    </a:xfrm>
                    <a:prstGeom prst="rect"/>
                  </pic:spPr>
                </pic:pic>
              </a:graphicData>
            </a:graphic>
          </wp:inline>
        </w:drawing>
      </w:r>
    </w:p>
    <w:p>
      <w:pPr>
        <w:jc w:val="center"/>
      </w:pPr>
      <w:r>
        <w:rPr>
          <w:i/>
          <w:color w:val="57606A"/>
          <w:sz w:val="18"/>
        </w:rPr>
        <w:t>Figure 5 — Price &amp; Moving Averages with Bollinger Bands (Last 2 Years)</w:t>
      </w:r>
    </w:p>
    <w:p>
      <w:pPr>
        <w:pStyle w:val="Heading2"/>
        <w:spacing w:before="240" w:after="80"/>
      </w:pPr>
      <w:r>
        <w:t>4.2  Bollinger Bands</w:t>
      </w:r>
    </w:p>
    <w:p>
      <w:pPr>
        <w:spacing w:before="40" w:after="80"/>
      </w:pPr>
      <w:r>
        <w:rPr>
          <w:b w:val="0"/>
          <w:i w:val="0"/>
          <w:sz w:val="21"/>
        </w:rPr>
        <w:t>Bollinger Bands (20-period, ±2 standard deviations) highlight overbought/oversold conditions. Price touching the upper band may indicate overbought conditions; lower band may indicate oversold.</w:t>
      </w:r>
    </w:p>
    <w:p>
      <w:pPr>
        <w:jc w:val="center"/>
      </w:pPr>
      <w:r>
        <w:drawing>
          <wp:inline xmlns:a="http://schemas.openxmlformats.org/drawingml/2006/main" xmlns:pic="http://schemas.openxmlformats.org/drawingml/2006/picture">
            <wp:extent cx="5669280" cy="1991321"/>
            <wp:docPr id="6" name="Picture 6"/>
            <wp:cNvGraphicFramePr>
              <a:graphicFrameLocks noChangeAspect="1"/>
            </wp:cNvGraphicFramePr>
            <a:graphic>
              <a:graphicData uri="http://schemas.openxmlformats.org/drawingml/2006/picture">
                <pic:pic>
                  <pic:nvPicPr>
                    <pic:cNvPr id="0" name="06_bollinger_bands.png"/>
                    <pic:cNvPicPr/>
                  </pic:nvPicPr>
                  <pic:blipFill>
                    <a:blip r:embed="rId14"/>
                    <a:stretch>
                      <a:fillRect/>
                    </a:stretch>
                  </pic:blipFill>
                  <pic:spPr>
                    <a:xfrm>
                      <a:off x="0" y="0"/>
                      <a:ext cx="5669280" cy="1991321"/>
                    </a:xfrm>
                    <a:prstGeom prst="rect"/>
                  </pic:spPr>
                </pic:pic>
              </a:graphicData>
            </a:graphic>
          </wp:inline>
        </w:drawing>
      </w:r>
    </w:p>
    <w:p>
      <w:pPr>
        <w:jc w:val="center"/>
      </w:pPr>
      <w:r>
        <w:rPr>
          <w:i/>
          <w:color w:val="57606A"/>
          <w:sz w:val="18"/>
        </w:rPr>
        <w:t>Figure 6 — Bollinger Bands Detail (Last 2 Years)</w:t>
      </w:r>
    </w:p>
    <w:p>
      <w:pPr>
        <w:pStyle w:val="Heading2"/>
        <w:spacing w:before="240" w:after="80"/>
      </w:pPr>
      <w:r>
        <w:t>4.3  RSI (Relative Strength Index)</w:t>
      </w:r>
    </w:p>
    <w:p>
      <w:pPr>
        <w:spacing w:before="40" w:after="80"/>
      </w:pPr>
      <w:r>
        <w:rPr>
          <w:b w:val="0"/>
          <w:i w:val="0"/>
          <w:sz w:val="21"/>
        </w:rPr>
        <w:t>Current RSI: 54.5. RSI &gt; 70 = Overbought; RSI &lt; 30 = Oversold. The RSI oscillates between 0 and 100 and measures momentum over 14 periods.</w:t>
      </w:r>
    </w:p>
    <w:p>
      <w:pPr>
        <w:jc w:val="center"/>
      </w:pPr>
      <w:r>
        <w:drawing>
          <wp:inline xmlns:a="http://schemas.openxmlformats.org/drawingml/2006/main" xmlns:pic="http://schemas.openxmlformats.org/drawingml/2006/picture">
            <wp:extent cx="5669280" cy="1379235"/>
            <wp:docPr id="7" name="Picture 7"/>
            <wp:cNvGraphicFramePr>
              <a:graphicFrameLocks noChangeAspect="1"/>
            </wp:cNvGraphicFramePr>
            <a:graphic>
              <a:graphicData uri="http://schemas.openxmlformats.org/drawingml/2006/picture">
                <pic:pic>
                  <pic:nvPicPr>
                    <pic:cNvPr id="0" name="04_rsi.png"/>
                    <pic:cNvPicPr/>
                  </pic:nvPicPr>
                  <pic:blipFill>
                    <a:blip r:embed="rId15"/>
                    <a:stretch>
                      <a:fillRect/>
                    </a:stretch>
                  </pic:blipFill>
                  <pic:spPr>
                    <a:xfrm>
                      <a:off x="0" y="0"/>
                      <a:ext cx="5669280" cy="1379235"/>
                    </a:xfrm>
                    <a:prstGeom prst="rect"/>
                  </pic:spPr>
                </pic:pic>
              </a:graphicData>
            </a:graphic>
          </wp:inline>
        </w:drawing>
      </w:r>
    </w:p>
    <w:p>
      <w:pPr>
        <w:jc w:val="center"/>
      </w:pPr>
      <w:r>
        <w:rPr>
          <w:i/>
          <w:color w:val="57606A"/>
          <w:sz w:val="18"/>
        </w:rPr>
        <w:t>Figure 7 — RSI-14 Indicator (Last 2 Years)</w:t>
      </w:r>
    </w:p>
    <w:p>
      <w:pPr>
        <w:pStyle w:val="Heading2"/>
        <w:spacing w:before="240" w:after="80"/>
      </w:pPr>
      <w:r>
        <w:t>4.4  MACD</w:t>
      </w:r>
    </w:p>
    <w:p>
      <w:pPr>
        <w:spacing w:before="40" w:after="80"/>
      </w:pPr>
      <w:r>
        <w:rPr>
          <w:b w:val="0"/>
          <w:i w:val="0"/>
          <w:sz w:val="21"/>
        </w:rPr>
        <w:t>Current MACD: -1.0902  |  Signal: -1.2548  |  Histogram: 0.1646. MACD crossovers above the signal line trigger BUY signals; crossovers below trigger SELL signals.</w:t>
      </w:r>
    </w:p>
    <w:p>
      <w:pPr>
        <w:jc w:val="center"/>
      </w:pPr>
      <w:r>
        <w:drawing>
          <wp:inline xmlns:a="http://schemas.openxmlformats.org/drawingml/2006/main" xmlns:pic="http://schemas.openxmlformats.org/drawingml/2006/picture">
            <wp:extent cx="5669280" cy="2013084"/>
            <wp:docPr id="8" name="Picture 8"/>
            <wp:cNvGraphicFramePr>
              <a:graphicFrameLocks noChangeAspect="1"/>
            </wp:cNvGraphicFramePr>
            <a:graphic>
              <a:graphicData uri="http://schemas.openxmlformats.org/drawingml/2006/picture">
                <pic:pic>
                  <pic:nvPicPr>
                    <pic:cNvPr id="0" name="05_macd.png"/>
                    <pic:cNvPicPr/>
                  </pic:nvPicPr>
                  <pic:blipFill>
                    <a:blip r:embed="rId16"/>
                    <a:stretch>
                      <a:fillRect/>
                    </a:stretch>
                  </pic:blipFill>
                  <pic:spPr>
                    <a:xfrm>
                      <a:off x="0" y="0"/>
                      <a:ext cx="5669280" cy="2013084"/>
                    </a:xfrm>
                    <a:prstGeom prst="rect"/>
                  </pic:spPr>
                </pic:pic>
              </a:graphicData>
            </a:graphic>
          </wp:inline>
        </w:drawing>
      </w:r>
    </w:p>
    <w:p>
      <w:pPr>
        <w:jc w:val="center"/>
      </w:pPr>
      <w:r>
        <w:rPr>
          <w:i/>
          <w:color w:val="57606A"/>
          <w:sz w:val="18"/>
        </w:rPr>
        <w:t>Figure 8 — MACD Indicator (Last 2 Years)</w:t>
      </w:r>
    </w:p>
    <w:p>
      <w:pPr>
        <w:pStyle w:val="Heading2"/>
        <w:spacing w:before="240" w:after="80"/>
      </w:pPr>
      <w:r>
        <w:t>4.5  Volume &amp; OBV</w:t>
      </w:r>
    </w:p>
    <w:p>
      <w:pPr>
        <w:spacing w:before="40" w:after="80"/>
      </w:pPr>
      <w:r>
        <w:rPr>
          <w:b w:val="0"/>
          <w:i w:val="0"/>
          <w:sz w:val="21"/>
        </w:rPr>
        <w:t>Volume confirms price moves — rising price on high volume is bullish. On-Balance Volume (OBV) accumulates volume on up-days and subtracts it on down-days.</w:t>
      </w:r>
    </w:p>
    <w:p>
      <w:pPr>
        <w:jc w:val="center"/>
      </w:pPr>
      <w:r>
        <w:drawing>
          <wp:inline xmlns:a="http://schemas.openxmlformats.org/drawingml/2006/main" xmlns:pic="http://schemas.openxmlformats.org/drawingml/2006/picture">
            <wp:extent cx="5669280" cy="2013084"/>
            <wp:docPr id="9" name="Picture 9"/>
            <wp:cNvGraphicFramePr>
              <a:graphicFrameLocks noChangeAspect="1"/>
            </wp:cNvGraphicFramePr>
            <a:graphic>
              <a:graphicData uri="http://schemas.openxmlformats.org/drawingml/2006/picture">
                <pic:pic>
                  <pic:nvPicPr>
                    <pic:cNvPr id="0" name="07_price_volume.png"/>
                    <pic:cNvPicPr/>
                  </pic:nvPicPr>
                  <pic:blipFill>
                    <a:blip r:embed="rId17"/>
                    <a:stretch>
                      <a:fillRect/>
                    </a:stretch>
                  </pic:blipFill>
                  <pic:spPr>
                    <a:xfrm>
                      <a:off x="0" y="0"/>
                      <a:ext cx="5669280" cy="2013084"/>
                    </a:xfrm>
                    <a:prstGeom prst="rect"/>
                  </pic:spPr>
                </pic:pic>
              </a:graphicData>
            </a:graphic>
          </wp:inline>
        </w:drawing>
      </w:r>
    </w:p>
    <w:p>
      <w:pPr>
        <w:jc w:val="center"/>
      </w:pPr>
      <w:r>
        <w:rPr>
          <w:i/>
          <w:color w:val="57606A"/>
          <w:sz w:val="18"/>
        </w:rPr>
        <w:t>Figure 9 — Price &amp; Volume (Last 2 Years)</w:t>
      </w:r>
    </w:p>
    <w:p>
      <w:pPr>
        <w:jc w:val="center"/>
      </w:pPr>
      <w:r>
        <w:drawing>
          <wp:inline xmlns:a="http://schemas.openxmlformats.org/drawingml/2006/main" xmlns:pic="http://schemas.openxmlformats.org/drawingml/2006/picture">
            <wp:extent cx="5669280" cy="2015804"/>
            <wp:docPr id="10" name="Picture 10"/>
            <wp:cNvGraphicFramePr>
              <a:graphicFrameLocks noChangeAspect="1"/>
            </wp:cNvGraphicFramePr>
            <a:graphic>
              <a:graphicData uri="http://schemas.openxmlformats.org/drawingml/2006/picture">
                <pic:pic>
                  <pic:nvPicPr>
                    <pic:cNvPr id="0" name="15_obv.png"/>
                    <pic:cNvPicPr/>
                  </pic:nvPicPr>
                  <pic:blipFill>
                    <a:blip r:embed="rId18"/>
                    <a:stretch>
                      <a:fillRect/>
                    </a:stretch>
                  </pic:blipFill>
                  <pic:spPr>
                    <a:xfrm>
                      <a:off x="0" y="0"/>
                      <a:ext cx="5669280" cy="2015804"/>
                    </a:xfrm>
                    <a:prstGeom prst="rect"/>
                  </pic:spPr>
                </pic:pic>
              </a:graphicData>
            </a:graphic>
          </wp:inline>
        </w:drawing>
      </w:r>
    </w:p>
    <w:p>
      <w:pPr>
        <w:jc w:val="center"/>
      </w:pPr>
      <w:r>
        <w:rPr>
          <w:i/>
          <w:color w:val="57606A"/>
          <w:sz w:val="18"/>
        </w:rPr>
        <w:t>Figure 10 — On-Balance Volume (Last 5 Years)</w:t>
      </w:r>
    </w:p>
    <w:p>
      <w:pPr>
        <w:pStyle w:val="Heading2"/>
        <w:spacing w:before="240" w:after="80"/>
      </w:pPr>
      <w:r>
        <w:t>4.6  Volatility &amp; ATR</w:t>
      </w:r>
    </w:p>
    <w:p>
      <w:pPr>
        <w:spacing w:before="40" w:after="80"/>
      </w:pPr>
      <w:r>
        <w:rPr>
          <w:b w:val="0"/>
          <w:i w:val="0"/>
          <w:sz w:val="21"/>
        </w:rPr>
        <w:t>Current 20-day annualised volatility: 26.6%. ATR (Average True Range) measures the average range of price movement over 14 days.</w:t>
      </w:r>
    </w:p>
    <w:p>
      <w:pPr>
        <w:jc w:val="center"/>
      </w:pPr>
      <w:r>
        <w:drawing>
          <wp:inline xmlns:a="http://schemas.openxmlformats.org/drawingml/2006/main" xmlns:pic="http://schemas.openxmlformats.org/drawingml/2006/picture">
            <wp:extent cx="5669280" cy="1583263"/>
            <wp:docPr id="11" name="Picture 11"/>
            <wp:cNvGraphicFramePr>
              <a:graphicFrameLocks noChangeAspect="1"/>
            </wp:cNvGraphicFramePr>
            <a:graphic>
              <a:graphicData uri="http://schemas.openxmlformats.org/drawingml/2006/picture">
                <pic:pic>
                  <pic:nvPicPr>
                    <pic:cNvPr id="0" name="09_volatility.png"/>
                    <pic:cNvPicPr/>
                  </pic:nvPicPr>
                  <pic:blipFill>
                    <a:blip r:embed="rId19"/>
                    <a:stretch>
                      <a:fillRect/>
                    </a:stretch>
                  </pic:blipFill>
                  <pic:spPr>
                    <a:xfrm>
                      <a:off x="0" y="0"/>
                      <a:ext cx="5669280" cy="1583263"/>
                    </a:xfrm>
                    <a:prstGeom prst="rect"/>
                  </pic:spPr>
                </pic:pic>
              </a:graphicData>
            </a:graphic>
          </wp:inline>
        </w:drawing>
      </w:r>
    </w:p>
    <w:p>
      <w:pPr>
        <w:jc w:val="center"/>
      </w:pPr>
      <w:r>
        <w:rPr>
          <w:i/>
          <w:color w:val="57606A"/>
          <w:sz w:val="18"/>
        </w:rPr>
        <w:t>Figure 11 — Rolling Volatility (Last 5 Years)</w:t>
      </w:r>
    </w:p>
    <w:p>
      <w:pPr>
        <w:jc w:val="center"/>
      </w:pPr>
      <w:r>
        <w:drawing>
          <wp:inline xmlns:a="http://schemas.openxmlformats.org/drawingml/2006/main" xmlns:pic="http://schemas.openxmlformats.org/drawingml/2006/picture">
            <wp:extent cx="5669280" cy="2013084"/>
            <wp:docPr id="12" name="Picture 12"/>
            <wp:cNvGraphicFramePr>
              <a:graphicFrameLocks noChangeAspect="1"/>
            </wp:cNvGraphicFramePr>
            <a:graphic>
              <a:graphicData uri="http://schemas.openxmlformats.org/drawingml/2006/picture">
                <pic:pic>
                  <pic:nvPicPr>
                    <pic:cNvPr id="0" name="17_atr.png"/>
                    <pic:cNvPicPr/>
                  </pic:nvPicPr>
                  <pic:blipFill>
                    <a:blip r:embed="rId20"/>
                    <a:stretch>
                      <a:fillRect/>
                    </a:stretch>
                  </pic:blipFill>
                  <pic:spPr>
                    <a:xfrm>
                      <a:off x="0" y="0"/>
                      <a:ext cx="5669280" cy="2013084"/>
                    </a:xfrm>
                    <a:prstGeom prst="rect"/>
                  </pic:spPr>
                </pic:pic>
              </a:graphicData>
            </a:graphic>
          </wp:inline>
        </w:drawing>
      </w:r>
    </w:p>
    <w:p>
      <w:pPr>
        <w:jc w:val="center"/>
      </w:pPr>
      <w:r>
        <w:rPr>
          <w:i/>
          <w:color w:val="57606A"/>
          <w:sz w:val="18"/>
        </w:rPr>
        <w:t>Figure 12 — Average True Range ATR-14 (Last 2 Years)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F77B4"/>
            <w:vAlign w:val="center"/>
          </w:tcPr>
          <w:p>
            <w:pPr>
              <w:jc w:val="center"/>
            </w:pPr>
            <w:r>
              <w:rPr>
                <w:b/>
                <w:color w:val="FFFFFF"/>
                <w:sz w:val="19"/>
              </w:rPr>
              <w:t>Indicator</w:t>
            </w:r>
          </w:p>
        </w:tc>
        <w:tc>
          <w:tcPr>
            <w:tcW w:type="dxa" w:w="2592"/>
            <w:shd w:val="clear" w:color="auto" w:fill="1F77B4"/>
            <w:vAlign w:val="center"/>
          </w:tcPr>
          <w:p>
            <w:pPr>
              <w:jc w:val="center"/>
            </w:pPr>
            <w:r>
              <w:rPr>
                <w:b/>
                <w:color w:val="FFFFFF"/>
                <w:sz w:val="19"/>
              </w:rPr>
              <w:t>Current Value</w:t>
            </w:r>
          </w:p>
        </w:tc>
        <w:tc>
          <w:tcPr>
            <w:tcW w:type="dxa" w:w="4320"/>
            <w:shd w:val="clear" w:color="auto" w:fill="1F77B4"/>
            <w:vAlign w:val="center"/>
          </w:tcPr>
          <w:p>
            <w:pPr>
              <w:jc w:val="center"/>
            </w:pPr>
            <w:r>
              <w:rPr>
                <w:b/>
                <w:color w:val="FFFFFF"/>
                <w:sz w:val="19"/>
              </w:rPr>
              <w:t>Interpretation</w:t>
            </w:r>
          </w:p>
        </w:tc>
      </w:tr>
      <w:tr>
        <w:tc>
          <w:tcPr>
            <w:tcW w:type="dxa" w:w="2592"/>
            <w:shd w:val="clear" w:color="auto" w:fill="EBF3FB"/>
          </w:tcPr>
          <w:p>
            <w:pPr>
              <w:jc w:val="center"/>
            </w:pPr>
            <w:r>
              <w:rPr>
                <w:sz w:val="19"/>
              </w:rPr>
              <w:t>SMA-20</w:t>
            </w:r>
          </w:p>
        </w:tc>
        <w:tc>
          <w:tcPr>
            <w:tcW w:type="dxa" w:w="2592"/>
            <w:shd w:val="clear" w:color="auto" w:fill="EBF3FB"/>
          </w:tcPr>
          <w:p>
            <w:pPr>
              <w:jc w:val="center"/>
            </w:pPr>
            <w:r>
              <w:rPr>
                <w:sz w:val="19"/>
              </w:rPr>
              <w:t>$255.94</w:t>
            </w:r>
          </w:p>
        </w:tc>
        <w:tc>
          <w:tcPr>
            <w:tcW w:type="dxa" w:w="4320"/>
            <w:shd w:val="clear" w:color="auto" w:fill="EBF3FB"/>
          </w:tcPr>
          <w:p>
            <w:pPr>
              <w:jc w:val="center"/>
            </w:pPr>
            <w:r>
              <w:rPr>
                <w:sz w:val="19"/>
              </w:rPr>
              <w:t>Short-term trend baseline</w:t>
            </w:r>
          </w:p>
        </w:tc>
      </w:tr>
      <w:tr>
        <w:tc>
          <w:tcPr>
            <w:tcW w:type="dxa" w:w="2592"/>
            <w:shd w:val="clear" w:color="auto" w:fill="FFFFFF"/>
          </w:tcPr>
          <w:p>
            <w:pPr>
              <w:jc w:val="center"/>
            </w:pPr>
            <w:r>
              <w:rPr>
                <w:sz w:val="19"/>
              </w:rPr>
              <w:t>SMA-50</w:t>
            </w:r>
          </w:p>
        </w:tc>
        <w:tc>
          <w:tcPr>
            <w:tcW w:type="dxa" w:w="2592"/>
            <w:shd w:val="clear" w:color="auto" w:fill="FFFFFF"/>
          </w:tcPr>
          <w:p>
            <w:pPr>
              <w:jc w:val="center"/>
            </w:pPr>
            <w:r>
              <w:rPr>
                <w:sz w:val="19"/>
              </w:rPr>
              <w:t>$256.32</w:t>
            </w:r>
          </w:p>
        </w:tc>
        <w:tc>
          <w:tcPr>
            <w:tcW w:type="dxa" w:w="4320"/>
            <w:shd w:val="clear" w:color="auto" w:fill="FFFFFF"/>
          </w:tcPr>
          <w:p>
            <w:pPr>
              <w:jc w:val="center"/>
            </w:pPr>
            <w:r>
              <w:rPr>
                <w:sz w:val="19"/>
              </w:rPr>
              <w:t>Medium-term trend support</w:t>
            </w:r>
          </w:p>
        </w:tc>
      </w:tr>
      <w:tr>
        <w:tc>
          <w:tcPr>
            <w:tcW w:type="dxa" w:w="2592"/>
            <w:shd w:val="clear" w:color="auto" w:fill="EBF3FB"/>
          </w:tcPr>
          <w:p>
            <w:pPr>
              <w:jc w:val="center"/>
            </w:pPr>
            <w:r>
              <w:rPr>
                <w:sz w:val="19"/>
              </w:rPr>
              <w:t>SMA-200</w:t>
            </w:r>
          </w:p>
        </w:tc>
        <w:tc>
          <w:tcPr>
            <w:tcW w:type="dxa" w:w="2592"/>
            <w:shd w:val="clear" w:color="auto" w:fill="EBF3FB"/>
          </w:tcPr>
          <w:p>
            <w:pPr>
              <w:jc w:val="center"/>
            </w:pPr>
            <w:r>
              <w:rPr>
                <w:sz w:val="19"/>
              </w:rPr>
              <w:t>$240.55</w:t>
            </w:r>
          </w:p>
        </w:tc>
        <w:tc>
          <w:tcPr>
            <w:tcW w:type="dxa" w:w="4320"/>
            <w:shd w:val="clear" w:color="auto" w:fill="EBF3FB"/>
          </w:tcPr>
          <w:p>
            <w:pPr>
              <w:jc w:val="center"/>
            </w:pPr>
            <w:r>
              <w:rPr>
                <w:sz w:val="19"/>
              </w:rPr>
              <w:t>Long-term trend support</w:t>
            </w:r>
          </w:p>
        </w:tc>
      </w:tr>
      <w:tr>
        <w:tc>
          <w:tcPr>
            <w:tcW w:type="dxa" w:w="2592"/>
            <w:shd w:val="clear" w:color="auto" w:fill="FFFFFF"/>
          </w:tcPr>
          <w:p>
            <w:pPr>
              <w:jc w:val="center"/>
            </w:pPr>
            <w:r>
              <w:rPr>
                <w:sz w:val="19"/>
              </w:rPr>
              <w:t>EMA-12</w:t>
            </w:r>
          </w:p>
        </w:tc>
        <w:tc>
          <w:tcPr>
            <w:tcW w:type="dxa" w:w="2592"/>
            <w:shd w:val="clear" w:color="auto" w:fill="FFFFFF"/>
          </w:tcPr>
          <w:p>
            <w:pPr>
              <w:jc w:val="center"/>
            </w:pPr>
            <w:r>
              <w:rPr>
                <w:sz w:val="19"/>
              </w:rPr>
              <w:t>$254.88</w:t>
            </w:r>
          </w:p>
        </w:tc>
        <w:tc>
          <w:tcPr>
            <w:tcW w:type="dxa" w:w="4320"/>
            <w:shd w:val="clear" w:color="auto" w:fill="FFFFFF"/>
          </w:tcPr>
          <w:p>
            <w:pPr>
              <w:jc w:val="center"/>
            </w:pPr>
            <w:r>
              <w:rPr>
                <w:sz w:val="19"/>
              </w:rPr>
              <w:t>Fast exponential average</w:t>
            </w:r>
          </w:p>
        </w:tc>
      </w:tr>
      <w:tr>
        <w:tc>
          <w:tcPr>
            <w:tcW w:type="dxa" w:w="2592"/>
            <w:shd w:val="clear" w:color="auto" w:fill="EBF3FB"/>
          </w:tcPr>
          <w:p>
            <w:pPr>
              <w:jc w:val="center"/>
            </w:pPr>
            <w:r>
              <w:rPr>
                <w:sz w:val="19"/>
              </w:rPr>
              <w:t>EMA-26</w:t>
            </w:r>
          </w:p>
        </w:tc>
        <w:tc>
          <w:tcPr>
            <w:tcW w:type="dxa" w:w="2592"/>
            <w:shd w:val="clear" w:color="auto" w:fill="EBF3FB"/>
          </w:tcPr>
          <w:p>
            <w:pPr>
              <w:jc w:val="center"/>
            </w:pPr>
            <w:r>
              <w:rPr>
                <w:sz w:val="19"/>
              </w:rPr>
              <w:t>$255.97</w:t>
            </w:r>
          </w:p>
        </w:tc>
        <w:tc>
          <w:tcPr>
            <w:tcW w:type="dxa" w:w="4320"/>
            <w:shd w:val="clear" w:color="auto" w:fill="EBF3FB"/>
          </w:tcPr>
          <w:p>
            <w:pPr>
              <w:jc w:val="center"/>
            </w:pPr>
            <w:r>
              <w:rPr>
                <w:sz w:val="19"/>
              </w:rPr>
              <w:t>Slow exponential average</w:t>
            </w:r>
          </w:p>
        </w:tc>
      </w:tr>
      <w:tr>
        <w:tc>
          <w:tcPr>
            <w:tcW w:type="dxa" w:w="2592"/>
            <w:shd w:val="clear" w:color="auto" w:fill="FFFFFF"/>
          </w:tcPr>
          <w:p>
            <w:pPr>
              <w:jc w:val="center"/>
            </w:pPr>
            <w:r>
              <w:rPr>
                <w:sz w:val="19"/>
              </w:rPr>
              <w:t>RSI-14</w:t>
            </w:r>
          </w:p>
        </w:tc>
        <w:tc>
          <w:tcPr>
            <w:tcW w:type="dxa" w:w="2592"/>
            <w:shd w:val="clear" w:color="auto" w:fill="FFFFFF"/>
          </w:tcPr>
          <w:p>
            <w:pPr>
              <w:jc w:val="center"/>
            </w:pPr>
            <w:r>
              <w:rPr>
                <w:sz w:val="19"/>
              </w:rPr>
              <w:t>54.50</w:t>
            </w:r>
          </w:p>
        </w:tc>
        <w:tc>
          <w:tcPr>
            <w:tcW w:type="dxa" w:w="4320"/>
            <w:shd w:val="clear" w:color="auto" w:fill="FFFFFF"/>
          </w:tcPr>
          <w:p>
            <w:pPr>
              <w:jc w:val="center"/>
            </w:pPr>
            <w:r>
              <w:rPr>
                <w:sz w:val="19"/>
              </w:rPr>
              <w:t>Momentum oscillator (0–100)</w:t>
            </w:r>
          </w:p>
        </w:tc>
      </w:tr>
      <w:tr>
        <w:tc>
          <w:tcPr>
            <w:tcW w:type="dxa" w:w="2592"/>
            <w:shd w:val="clear" w:color="auto" w:fill="EBF3FB"/>
          </w:tcPr>
          <w:p>
            <w:pPr>
              <w:jc w:val="center"/>
            </w:pPr>
            <w:r>
              <w:rPr>
                <w:sz w:val="19"/>
              </w:rPr>
              <w:t>MACD</w:t>
            </w:r>
          </w:p>
        </w:tc>
        <w:tc>
          <w:tcPr>
            <w:tcW w:type="dxa" w:w="2592"/>
            <w:shd w:val="clear" w:color="auto" w:fill="EBF3FB"/>
          </w:tcPr>
          <w:p>
            <w:pPr>
              <w:jc w:val="center"/>
            </w:pPr>
            <w:r>
              <w:rPr>
                <w:sz w:val="19"/>
              </w:rPr>
              <w:t>-1.0902</w:t>
            </w:r>
          </w:p>
        </w:tc>
        <w:tc>
          <w:tcPr>
            <w:tcW w:type="dxa" w:w="4320"/>
            <w:shd w:val="clear" w:color="auto" w:fill="EBF3FB"/>
          </w:tcPr>
          <w:p>
            <w:pPr>
              <w:jc w:val="center"/>
            </w:pPr>
            <w:r>
              <w:rPr>
                <w:sz w:val="19"/>
              </w:rPr>
              <w:t>MACD line</w:t>
            </w:r>
          </w:p>
        </w:tc>
      </w:tr>
      <w:tr>
        <w:tc>
          <w:tcPr>
            <w:tcW w:type="dxa" w:w="2592"/>
            <w:shd w:val="clear" w:color="auto" w:fill="FFFFFF"/>
          </w:tcPr>
          <w:p>
            <w:pPr>
              <w:jc w:val="center"/>
            </w:pPr>
            <w:r>
              <w:rPr>
                <w:sz w:val="19"/>
              </w:rPr>
              <w:t>MACD Signal</w:t>
            </w:r>
          </w:p>
        </w:tc>
        <w:tc>
          <w:tcPr>
            <w:tcW w:type="dxa" w:w="2592"/>
            <w:shd w:val="clear" w:color="auto" w:fill="FFFFFF"/>
          </w:tcPr>
          <w:p>
            <w:pPr>
              <w:jc w:val="center"/>
            </w:pPr>
            <w:r>
              <w:rPr>
                <w:sz w:val="19"/>
              </w:rPr>
              <w:t>-1.2548</w:t>
            </w:r>
          </w:p>
        </w:tc>
        <w:tc>
          <w:tcPr>
            <w:tcW w:type="dxa" w:w="4320"/>
            <w:shd w:val="clear" w:color="auto" w:fill="FFFFFF"/>
          </w:tcPr>
          <w:p>
            <w:pPr>
              <w:jc w:val="center"/>
            </w:pPr>
            <w:r>
              <w:rPr>
                <w:sz w:val="19"/>
              </w:rPr>
              <w:t>Signal line</w:t>
            </w:r>
          </w:p>
        </w:tc>
      </w:tr>
      <w:tr>
        <w:tc>
          <w:tcPr>
            <w:tcW w:type="dxa" w:w="2592"/>
            <w:shd w:val="clear" w:color="auto" w:fill="EBF3FB"/>
          </w:tcPr>
          <w:p>
            <w:pPr>
              <w:jc w:val="center"/>
            </w:pPr>
            <w:r>
              <w:rPr>
                <w:sz w:val="19"/>
              </w:rPr>
              <w:t>BB Upper</w:t>
            </w:r>
          </w:p>
        </w:tc>
        <w:tc>
          <w:tcPr>
            <w:tcW w:type="dxa" w:w="2592"/>
            <w:shd w:val="clear" w:color="auto" w:fill="EBF3FB"/>
          </w:tcPr>
          <w:p>
            <w:pPr>
              <w:jc w:val="center"/>
            </w:pPr>
            <w:r>
              <w:rPr>
                <w:sz w:val="19"/>
              </w:rPr>
              <w:t>$265.35</w:t>
            </w:r>
          </w:p>
        </w:tc>
        <w:tc>
          <w:tcPr>
            <w:tcW w:type="dxa" w:w="4320"/>
            <w:shd w:val="clear" w:color="auto" w:fill="EBF3FB"/>
          </w:tcPr>
          <w:p>
            <w:pPr>
              <w:jc w:val="center"/>
            </w:pPr>
            <w:r>
              <w:rPr>
                <w:sz w:val="19"/>
              </w:rPr>
              <w:t>Upper Bollinger Band (2σ)</w:t>
            </w:r>
          </w:p>
        </w:tc>
      </w:tr>
      <w:tr>
        <w:tc>
          <w:tcPr>
            <w:tcW w:type="dxa" w:w="2592"/>
            <w:shd w:val="clear" w:color="auto" w:fill="FFFFFF"/>
          </w:tcPr>
          <w:p>
            <w:pPr>
              <w:jc w:val="center"/>
            </w:pPr>
            <w:r>
              <w:rPr>
                <w:sz w:val="19"/>
              </w:rPr>
              <w:t>BB Lower</w:t>
            </w:r>
          </w:p>
        </w:tc>
        <w:tc>
          <w:tcPr>
            <w:tcW w:type="dxa" w:w="2592"/>
            <w:shd w:val="clear" w:color="auto" w:fill="FFFFFF"/>
          </w:tcPr>
          <w:p>
            <w:pPr>
              <w:jc w:val="center"/>
            </w:pPr>
            <w:r>
              <w:rPr>
                <w:sz w:val="19"/>
              </w:rPr>
              <w:t>$246.54</w:t>
            </w:r>
          </w:p>
        </w:tc>
        <w:tc>
          <w:tcPr>
            <w:tcW w:type="dxa" w:w="4320"/>
            <w:shd w:val="clear" w:color="auto" w:fill="FFFFFF"/>
          </w:tcPr>
          <w:p>
            <w:pPr>
              <w:jc w:val="center"/>
            </w:pPr>
            <w:r>
              <w:rPr>
                <w:sz w:val="19"/>
              </w:rPr>
              <w:t>Lower Bollinger Band (2σ)</w:t>
            </w:r>
          </w:p>
        </w:tc>
      </w:tr>
      <w:tr>
        <w:tc>
          <w:tcPr>
            <w:tcW w:type="dxa" w:w="2592"/>
            <w:shd w:val="clear" w:color="auto" w:fill="EBF3FB"/>
          </w:tcPr>
          <w:p>
            <w:pPr>
              <w:jc w:val="center"/>
            </w:pPr>
            <w:r>
              <w:rPr>
                <w:sz w:val="19"/>
              </w:rPr>
              <w:t>BB Width</w:t>
            </w:r>
          </w:p>
        </w:tc>
        <w:tc>
          <w:tcPr>
            <w:tcW w:type="dxa" w:w="2592"/>
            <w:shd w:val="clear" w:color="auto" w:fill="EBF3FB"/>
          </w:tcPr>
          <w:p>
            <w:pPr>
              <w:jc w:val="center"/>
            </w:pPr>
            <w:r>
              <w:rPr>
                <w:sz w:val="19"/>
              </w:rPr>
              <w:t>0.0735</w:t>
            </w:r>
          </w:p>
        </w:tc>
        <w:tc>
          <w:tcPr>
            <w:tcW w:type="dxa" w:w="4320"/>
            <w:shd w:val="clear" w:color="auto" w:fill="EBF3FB"/>
          </w:tcPr>
          <w:p>
            <w:pPr>
              <w:jc w:val="center"/>
            </w:pPr>
            <w:r>
              <w:rPr>
                <w:sz w:val="19"/>
              </w:rPr>
              <w:t>Band width (volatility proxy)</w:t>
            </w:r>
          </w:p>
        </w:tc>
      </w:tr>
      <w:tr>
        <w:tc>
          <w:tcPr>
            <w:tcW w:type="dxa" w:w="2592"/>
            <w:shd w:val="clear" w:color="auto" w:fill="FFFFFF"/>
          </w:tcPr>
          <w:p>
            <w:pPr>
              <w:jc w:val="center"/>
            </w:pPr>
            <w:r>
              <w:rPr>
                <w:sz w:val="19"/>
              </w:rPr>
              <w:t>ATR-14</w:t>
            </w:r>
          </w:p>
        </w:tc>
        <w:tc>
          <w:tcPr>
            <w:tcW w:type="dxa" w:w="2592"/>
            <w:shd w:val="clear" w:color="auto" w:fill="FFFFFF"/>
          </w:tcPr>
          <w:p>
            <w:pPr>
              <w:jc w:val="center"/>
            </w:pPr>
            <w:r>
              <w:rPr>
                <w:sz w:val="19"/>
              </w:rPr>
              <w:t>$5.19</w:t>
            </w:r>
          </w:p>
        </w:tc>
        <w:tc>
          <w:tcPr>
            <w:tcW w:type="dxa" w:w="4320"/>
            <w:shd w:val="clear" w:color="auto" w:fill="FFFFFF"/>
          </w:tcPr>
          <w:p>
            <w:pPr>
              <w:jc w:val="center"/>
            </w:pPr>
            <w:r>
              <w:rPr>
                <w:sz w:val="19"/>
              </w:rPr>
              <w:t>Average True Range</w:t>
            </w:r>
          </w:p>
        </w:tc>
      </w:tr>
      <w:tr>
        <w:tc>
          <w:tcPr>
            <w:tcW w:type="dxa" w:w="2592"/>
            <w:shd w:val="clear" w:color="auto" w:fill="EBF3FB"/>
          </w:tcPr>
          <w:p>
            <w:pPr>
              <w:jc w:val="center"/>
            </w:pPr>
            <w:r>
              <w:rPr>
                <w:sz w:val="19"/>
              </w:rPr>
              <w:t>Volatility-20</w:t>
            </w:r>
          </w:p>
        </w:tc>
        <w:tc>
          <w:tcPr>
            <w:tcW w:type="dxa" w:w="2592"/>
            <w:shd w:val="clear" w:color="auto" w:fill="EBF3FB"/>
          </w:tcPr>
          <w:p>
            <w:pPr>
              <w:jc w:val="center"/>
            </w:pPr>
            <w:r>
              <w:rPr>
                <w:sz w:val="19"/>
              </w:rPr>
              <w:t>26.62%</w:t>
            </w:r>
          </w:p>
        </w:tc>
        <w:tc>
          <w:tcPr>
            <w:tcW w:type="dxa" w:w="4320"/>
            <w:shd w:val="clear" w:color="auto" w:fill="EBF3FB"/>
          </w:tcPr>
          <w:p>
            <w:pPr>
              <w:jc w:val="center"/>
            </w:pPr>
            <w:r>
              <w:rPr>
                <w:sz w:val="19"/>
              </w:rPr>
              <w:t>20-day annualised volatility</w:t>
            </w:r>
          </w:p>
        </w:tc>
      </w:tr>
    </w:tbl>
    <w:p>
      <w:r>
        <w:br w:type="page"/>
      </w:r>
    </w:p>
    <w:p>
      <w:pPr>
        <w:pStyle w:val="Heading1"/>
        <w:spacing w:before="240" w:after="80"/>
      </w:pPr>
      <w:r>
        <w:rPr>
          <w:color w:val="1F77B4"/>
        </w:rPr>
        <w:t>5. Machine Learning Models</w:t>
      </w:r>
    </w:p>
    <w:p>
      <w:pPr>
        <w:pBdr>
          <w:bottom w:val="single" w:sz="4" w:space="1" w:color="1F77B4"/>
        </w:pBdr>
      </w:pPr>
    </w:p>
    <w:p>
      <w:pPr>
        <w:spacing w:before="40" w:after="80"/>
      </w:pPr>
      <w:r>
        <w:rPr>
          <w:b w:val="0"/>
          <w:i w:val="0"/>
          <w:sz w:val="21"/>
        </w:rPr>
        <w:t>Six ML models are trained on scale-invariant features derived from technical indicators. This makes the engine reusable for any stock regardless of its price range.</w:t>
      </w:r>
    </w:p>
    <w:p>
      <w:pPr>
        <w:pStyle w:val="Heading2"/>
        <w:spacing w:before="240" w:after="80"/>
      </w:pPr>
      <w:r>
        <w:t>5.1  Linear Regression Forecast</w:t>
      </w:r>
    </w:p>
    <w:p>
      <w:pPr>
        <w:spacing w:before="40" w:after="80"/>
      </w:pPr>
      <w:r>
        <w:rPr>
          <w:b w:val="0"/>
          <w:i w:val="0"/>
          <w:sz w:val="21"/>
        </w:rPr>
        <w:t>Linear Regression baseline model. Test set performance — RMSE: $3.43  |  MAE: $2.46  |  R²: 0.9945  |  MAPE: 1.47%</w:t>
      </w:r>
    </w:p>
    <w:p>
      <w:pPr>
        <w:jc w:val="center"/>
      </w:pPr>
      <w:r>
        <w:drawing>
          <wp:inline xmlns:a="http://schemas.openxmlformats.org/drawingml/2006/main" xmlns:pic="http://schemas.openxmlformats.org/drawingml/2006/picture">
            <wp:extent cx="5669280" cy="1991321"/>
            <wp:docPr id="13" name="Picture 13"/>
            <wp:cNvGraphicFramePr>
              <a:graphicFrameLocks noChangeAspect="1"/>
            </wp:cNvGraphicFramePr>
            <a:graphic>
              <a:graphicData uri="http://schemas.openxmlformats.org/drawingml/2006/picture">
                <pic:pic>
                  <pic:nvPicPr>
                    <pic:cNvPr id="0" name="10_lr_forecast.png"/>
                    <pic:cNvPicPr/>
                  </pic:nvPicPr>
                  <pic:blipFill>
                    <a:blip r:embed="rId21"/>
                    <a:stretch>
                      <a:fillRect/>
                    </a:stretch>
                  </pic:blipFill>
                  <pic:spPr>
                    <a:xfrm>
                      <a:off x="0" y="0"/>
                      <a:ext cx="5669280" cy="1991321"/>
                    </a:xfrm>
                    <a:prstGeom prst="rect"/>
                  </pic:spPr>
                </pic:pic>
              </a:graphicData>
            </a:graphic>
          </wp:inline>
        </w:drawing>
      </w:r>
    </w:p>
    <w:p>
      <w:pPr>
        <w:jc w:val="center"/>
      </w:pPr>
      <w:r>
        <w:rPr>
          <w:i/>
          <w:color w:val="57606A"/>
          <w:sz w:val="18"/>
        </w:rPr>
        <w:t>Figure 13 — Linear Regression: Test Set Fit &amp; 30-Day Forecast</w:t>
      </w:r>
    </w:p>
    <w:p>
      <w:pPr>
        <w:pStyle w:val="Heading2"/>
        <w:spacing w:before="240" w:after="80"/>
      </w:pPr>
      <w:r>
        <w:t>5.2  Random Forest Regression</w:t>
      </w:r>
    </w:p>
    <w:p>
      <w:pPr>
        <w:spacing w:before="40" w:after="80"/>
      </w:pPr>
      <w:r>
        <w:rPr>
          <w:b w:val="0"/>
          <w:i w:val="0"/>
          <w:sz w:val="21"/>
        </w:rPr>
        <w:t>Random Forest with 200 trees, max depth 12. Test set performance — RMSE: $37.96  |  MAE: $24.35  |  R²: 0.3318  |  MAPE: 11.27%</w:t>
      </w:r>
    </w:p>
    <w:p>
      <w:pPr>
        <w:jc w:val="center"/>
      </w:pPr>
      <w:r>
        <w:drawing>
          <wp:inline xmlns:a="http://schemas.openxmlformats.org/drawingml/2006/main" xmlns:pic="http://schemas.openxmlformats.org/drawingml/2006/picture">
            <wp:extent cx="5669280" cy="2015804"/>
            <wp:docPr id="14" name="Picture 14"/>
            <wp:cNvGraphicFramePr>
              <a:graphicFrameLocks noChangeAspect="1"/>
            </wp:cNvGraphicFramePr>
            <a:graphic>
              <a:graphicData uri="http://schemas.openxmlformats.org/drawingml/2006/picture">
                <pic:pic>
                  <pic:nvPicPr>
                    <pic:cNvPr id="0" name="11_rf_forecast.png"/>
                    <pic:cNvPicPr/>
                  </pic:nvPicPr>
                  <pic:blipFill>
                    <a:blip r:embed="rId22"/>
                    <a:stretch>
                      <a:fillRect/>
                    </a:stretch>
                  </pic:blipFill>
                  <pic:spPr>
                    <a:xfrm>
                      <a:off x="0" y="0"/>
                      <a:ext cx="5669280" cy="2015804"/>
                    </a:xfrm>
                    <a:prstGeom prst="rect"/>
                  </pic:spPr>
                </pic:pic>
              </a:graphicData>
            </a:graphic>
          </wp:inline>
        </w:drawing>
      </w:r>
    </w:p>
    <w:p>
      <w:pPr>
        <w:jc w:val="center"/>
      </w:pPr>
      <w:r>
        <w:rPr>
          <w:i/>
          <w:color w:val="57606A"/>
          <w:sz w:val="18"/>
        </w:rPr>
        <w:t>Figure 14 — Random Forest: Test Predictions &amp; Feature Importance</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val="clear" w:color="auto" w:fill="1F77B4"/>
            <w:vAlign w:val="center"/>
          </w:tcPr>
          <w:p>
            <w:pPr>
              <w:jc w:val="center"/>
            </w:pPr>
            <w:r>
              <w:rPr>
                <w:b/>
                <w:color w:val="FFFFFF"/>
                <w:sz w:val="19"/>
              </w:rPr>
              <w:t>Rank</w:t>
            </w:r>
          </w:p>
        </w:tc>
        <w:tc>
          <w:tcPr>
            <w:tcW w:type="dxa" w:w="3600"/>
            <w:shd w:val="clear" w:color="auto" w:fill="1F77B4"/>
            <w:vAlign w:val="center"/>
          </w:tcPr>
          <w:p>
            <w:pPr>
              <w:jc w:val="center"/>
            </w:pPr>
            <w:r>
              <w:rPr>
                <w:b/>
                <w:color w:val="FFFFFF"/>
                <w:sz w:val="19"/>
              </w:rPr>
              <w:t>Feature</w:t>
            </w:r>
          </w:p>
        </w:tc>
        <w:tc>
          <w:tcPr>
            <w:tcW w:type="dxa" w:w="3600"/>
            <w:shd w:val="clear" w:color="auto" w:fill="1F77B4"/>
            <w:vAlign w:val="center"/>
          </w:tcPr>
          <w:p>
            <w:pPr>
              <w:jc w:val="center"/>
            </w:pPr>
            <w:r>
              <w:rPr>
                <w:b/>
                <w:color w:val="FFFFFF"/>
                <w:sz w:val="19"/>
              </w:rPr>
              <w:t>Importance Score</w:t>
            </w:r>
          </w:p>
        </w:tc>
      </w:tr>
      <w:tr>
        <w:tc>
          <w:tcPr>
            <w:tcW w:type="dxa" w:w="1152"/>
            <w:shd w:val="clear" w:color="auto" w:fill="EBF3FB"/>
          </w:tcPr>
          <w:p>
            <w:pPr>
              <w:jc w:val="center"/>
            </w:pPr>
            <w:r>
              <w:rPr>
                <w:sz w:val="19"/>
              </w:rPr>
              <w:t>1</w:t>
            </w:r>
          </w:p>
        </w:tc>
        <w:tc>
          <w:tcPr>
            <w:tcW w:type="dxa" w:w="3600"/>
            <w:shd w:val="clear" w:color="auto" w:fill="EBF3FB"/>
          </w:tcPr>
          <w:p>
            <w:pPr>
              <w:jc w:val="center"/>
            </w:pPr>
            <w:r>
              <w:rPr>
                <w:sz w:val="19"/>
              </w:rPr>
              <w:t>Close_lag1</w:t>
            </w:r>
          </w:p>
        </w:tc>
        <w:tc>
          <w:tcPr>
            <w:tcW w:type="dxa" w:w="3600"/>
            <w:shd w:val="clear" w:color="auto" w:fill="EBF3FB"/>
          </w:tcPr>
          <w:p>
            <w:pPr>
              <w:jc w:val="center"/>
            </w:pPr>
            <w:r>
              <w:rPr>
                <w:sz w:val="19"/>
              </w:rPr>
              <w:t>0.926345</w:t>
            </w:r>
          </w:p>
        </w:tc>
      </w:tr>
      <w:tr>
        <w:tc>
          <w:tcPr>
            <w:tcW w:type="dxa" w:w="1152"/>
            <w:shd w:val="clear" w:color="auto" w:fill="FFFFFF"/>
          </w:tcPr>
          <w:p>
            <w:pPr>
              <w:jc w:val="center"/>
            </w:pPr>
            <w:r>
              <w:rPr>
                <w:sz w:val="19"/>
              </w:rPr>
              <w:t>2</w:t>
            </w:r>
          </w:p>
        </w:tc>
        <w:tc>
          <w:tcPr>
            <w:tcW w:type="dxa" w:w="3600"/>
            <w:shd w:val="clear" w:color="auto" w:fill="FFFFFF"/>
          </w:tcPr>
          <w:p>
            <w:pPr>
              <w:jc w:val="center"/>
            </w:pPr>
            <w:r>
              <w:rPr>
                <w:sz w:val="19"/>
              </w:rPr>
              <w:t>Close_lag5</w:t>
            </w:r>
          </w:p>
        </w:tc>
        <w:tc>
          <w:tcPr>
            <w:tcW w:type="dxa" w:w="3600"/>
            <w:shd w:val="clear" w:color="auto" w:fill="FFFFFF"/>
          </w:tcPr>
          <w:p>
            <w:pPr>
              <w:jc w:val="center"/>
            </w:pPr>
            <w:r>
              <w:rPr>
                <w:sz w:val="19"/>
              </w:rPr>
              <w:t>0.072861</w:t>
            </w:r>
          </w:p>
        </w:tc>
      </w:tr>
      <w:tr>
        <w:tc>
          <w:tcPr>
            <w:tcW w:type="dxa" w:w="1152"/>
            <w:shd w:val="clear" w:color="auto" w:fill="EBF3FB"/>
          </w:tcPr>
          <w:p>
            <w:pPr>
              <w:jc w:val="center"/>
            </w:pPr>
            <w:r>
              <w:rPr>
                <w:sz w:val="19"/>
              </w:rPr>
              <w:t>3</w:t>
            </w:r>
          </w:p>
        </w:tc>
        <w:tc>
          <w:tcPr>
            <w:tcW w:type="dxa" w:w="3600"/>
            <w:shd w:val="clear" w:color="auto" w:fill="EBF3FB"/>
          </w:tcPr>
          <w:p>
            <w:pPr>
              <w:jc w:val="center"/>
            </w:pPr>
            <w:r>
              <w:rPr>
                <w:sz w:val="19"/>
              </w:rPr>
              <w:t>Close_vs_SMA200</w:t>
            </w:r>
          </w:p>
        </w:tc>
        <w:tc>
          <w:tcPr>
            <w:tcW w:type="dxa" w:w="3600"/>
            <w:shd w:val="clear" w:color="auto" w:fill="EBF3FB"/>
          </w:tcPr>
          <w:p>
            <w:pPr>
              <w:jc w:val="center"/>
            </w:pPr>
            <w:r>
              <w:rPr>
                <w:sz w:val="19"/>
              </w:rPr>
              <w:t>0.000124</w:t>
            </w:r>
          </w:p>
        </w:tc>
      </w:tr>
      <w:tr>
        <w:tc>
          <w:tcPr>
            <w:tcW w:type="dxa" w:w="1152"/>
            <w:shd w:val="clear" w:color="auto" w:fill="FFFFFF"/>
          </w:tcPr>
          <w:p>
            <w:pPr>
              <w:jc w:val="center"/>
            </w:pPr>
            <w:r>
              <w:rPr>
                <w:sz w:val="19"/>
              </w:rPr>
              <w:t>4</w:t>
            </w:r>
          </w:p>
        </w:tc>
        <w:tc>
          <w:tcPr>
            <w:tcW w:type="dxa" w:w="3600"/>
            <w:shd w:val="clear" w:color="auto" w:fill="FFFFFF"/>
          </w:tcPr>
          <w:p>
            <w:pPr>
              <w:jc w:val="center"/>
            </w:pPr>
            <w:r>
              <w:rPr>
                <w:sz w:val="19"/>
              </w:rPr>
              <w:t>Close_vs_SMA50</w:t>
            </w:r>
          </w:p>
        </w:tc>
        <w:tc>
          <w:tcPr>
            <w:tcW w:type="dxa" w:w="3600"/>
            <w:shd w:val="clear" w:color="auto" w:fill="FFFFFF"/>
          </w:tcPr>
          <w:p>
            <w:pPr>
              <w:jc w:val="center"/>
            </w:pPr>
            <w:r>
              <w:rPr>
                <w:sz w:val="19"/>
              </w:rPr>
              <w:t>0.000114</w:t>
            </w:r>
          </w:p>
        </w:tc>
      </w:tr>
      <w:tr>
        <w:tc>
          <w:tcPr>
            <w:tcW w:type="dxa" w:w="1152"/>
            <w:shd w:val="clear" w:color="auto" w:fill="EBF3FB"/>
          </w:tcPr>
          <w:p>
            <w:pPr>
              <w:jc w:val="center"/>
            </w:pPr>
            <w:r>
              <w:rPr>
                <w:sz w:val="19"/>
              </w:rPr>
              <w:t>5</w:t>
            </w:r>
          </w:p>
        </w:tc>
        <w:tc>
          <w:tcPr>
            <w:tcW w:type="dxa" w:w="3600"/>
            <w:shd w:val="clear" w:color="auto" w:fill="EBF3FB"/>
          </w:tcPr>
          <w:p>
            <w:pPr>
              <w:jc w:val="center"/>
            </w:pPr>
            <w:r>
              <w:rPr>
                <w:sz w:val="19"/>
              </w:rPr>
              <w:t>Daily_Return</w:t>
            </w:r>
          </w:p>
        </w:tc>
        <w:tc>
          <w:tcPr>
            <w:tcW w:type="dxa" w:w="3600"/>
            <w:shd w:val="clear" w:color="auto" w:fill="EBF3FB"/>
          </w:tcPr>
          <w:p>
            <w:pPr>
              <w:jc w:val="center"/>
            </w:pPr>
            <w:r>
              <w:rPr>
                <w:sz w:val="19"/>
              </w:rPr>
              <w:t>0.000107</w:t>
            </w:r>
          </w:p>
        </w:tc>
      </w:tr>
      <w:tr>
        <w:tc>
          <w:tcPr>
            <w:tcW w:type="dxa" w:w="1152"/>
            <w:shd w:val="clear" w:color="auto" w:fill="FFFFFF"/>
          </w:tcPr>
          <w:p>
            <w:pPr>
              <w:jc w:val="center"/>
            </w:pPr>
            <w:r>
              <w:rPr>
                <w:sz w:val="19"/>
              </w:rPr>
              <w:t>6</w:t>
            </w:r>
          </w:p>
        </w:tc>
        <w:tc>
          <w:tcPr>
            <w:tcW w:type="dxa" w:w="3600"/>
            <w:shd w:val="clear" w:color="auto" w:fill="FFFFFF"/>
          </w:tcPr>
          <w:p>
            <w:pPr>
              <w:jc w:val="center"/>
            </w:pPr>
            <w:r>
              <w:rPr>
                <w:sz w:val="19"/>
              </w:rPr>
              <w:t>Log_Return</w:t>
            </w:r>
          </w:p>
        </w:tc>
        <w:tc>
          <w:tcPr>
            <w:tcW w:type="dxa" w:w="3600"/>
            <w:shd w:val="clear" w:color="auto" w:fill="FFFFFF"/>
          </w:tcPr>
          <w:p>
            <w:pPr>
              <w:jc w:val="center"/>
            </w:pPr>
            <w:r>
              <w:rPr>
                <w:sz w:val="19"/>
              </w:rPr>
              <w:t>0.000106</w:t>
            </w:r>
          </w:p>
        </w:tc>
      </w:tr>
      <w:tr>
        <w:tc>
          <w:tcPr>
            <w:tcW w:type="dxa" w:w="1152"/>
            <w:shd w:val="clear" w:color="auto" w:fill="EBF3FB"/>
          </w:tcPr>
          <w:p>
            <w:pPr>
              <w:jc w:val="center"/>
            </w:pPr>
            <w:r>
              <w:rPr>
                <w:sz w:val="19"/>
              </w:rPr>
              <w:t>7</w:t>
            </w:r>
          </w:p>
        </w:tc>
        <w:tc>
          <w:tcPr>
            <w:tcW w:type="dxa" w:w="3600"/>
            <w:shd w:val="clear" w:color="auto" w:fill="EBF3FB"/>
          </w:tcPr>
          <w:p>
            <w:pPr>
              <w:jc w:val="center"/>
            </w:pPr>
            <w:r>
              <w:rPr>
                <w:sz w:val="19"/>
              </w:rPr>
              <w:t>MACD</w:t>
            </w:r>
          </w:p>
        </w:tc>
        <w:tc>
          <w:tcPr>
            <w:tcW w:type="dxa" w:w="3600"/>
            <w:shd w:val="clear" w:color="auto" w:fill="EBF3FB"/>
          </w:tcPr>
          <w:p>
            <w:pPr>
              <w:jc w:val="center"/>
            </w:pPr>
            <w:r>
              <w:rPr>
                <w:sz w:val="19"/>
              </w:rPr>
              <w:t>0.000076</w:t>
            </w:r>
          </w:p>
        </w:tc>
      </w:tr>
      <w:tr>
        <w:tc>
          <w:tcPr>
            <w:tcW w:type="dxa" w:w="1152"/>
            <w:shd w:val="clear" w:color="auto" w:fill="FFFFFF"/>
          </w:tcPr>
          <w:p>
            <w:pPr>
              <w:jc w:val="center"/>
            </w:pPr>
            <w:r>
              <w:rPr>
                <w:sz w:val="19"/>
              </w:rPr>
              <w:t>8</w:t>
            </w:r>
          </w:p>
        </w:tc>
        <w:tc>
          <w:tcPr>
            <w:tcW w:type="dxa" w:w="3600"/>
            <w:shd w:val="clear" w:color="auto" w:fill="FFFFFF"/>
          </w:tcPr>
          <w:p>
            <w:pPr>
              <w:jc w:val="center"/>
            </w:pPr>
            <w:r>
              <w:rPr>
                <w:sz w:val="19"/>
              </w:rPr>
              <w:t>Close_vs_SMA20</w:t>
            </w:r>
          </w:p>
        </w:tc>
        <w:tc>
          <w:tcPr>
            <w:tcW w:type="dxa" w:w="3600"/>
            <w:shd w:val="clear" w:color="auto" w:fill="FFFFFF"/>
          </w:tcPr>
          <w:p>
            <w:pPr>
              <w:jc w:val="center"/>
            </w:pPr>
            <w:r>
              <w:rPr>
                <w:sz w:val="19"/>
              </w:rPr>
              <w:t>0.000048</w:t>
            </w:r>
          </w:p>
        </w:tc>
      </w:tr>
      <w:tr>
        <w:tc>
          <w:tcPr>
            <w:tcW w:type="dxa" w:w="1152"/>
            <w:shd w:val="clear" w:color="auto" w:fill="EBF3FB"/>
          </w:tcPr>
          <w:p>
            <w:pPr>
              <w:jc w:val="center"/>
            </w:pPr>
            <w:r>
              <w:rPr>
                <w:sz w:val="19"/>
              </w:rPr>
              <w:t>9</w:t>
            </w:r>
          </w:p>
        </w:tc>
        <w:tc>
          <w:tcPr>
            <w:tcW w:type="dxa" w:w="3600"/>
            <w:shd w:val="clear" w:color="auto" w:fill="EBF3FB"/>
          </w:tcPr>
          <w:p>
            <w:pPr>
              <w:jc w:val="center"/>
            </w:pPr>
            <w:r>
              <w:rPr>
                <w:sz w:val="19"/>
              </w:rPr>
              <w:t>ATR</w:t>
            </w:r>
          </w:p>
        </w:tc>
        <w:tc>
          <w:tcPr>
            <w:tcW w:type="dxa" w:w="3600"/>
            <w:shd w:val="clear" w:color="auto" w:fill="EBF3FB"/>
          </w:tcPr>
          <w:p>
            <w:pPr>
              <w:jc w:val="center"/>
            </w:pPr>
            <w:r>
              <w:rPr>
                <w:sz w:val="19"/>
              </w:rPr>
              <w:t>0.000041</w:t>
            </w:r>
          </w:p>
        </w:tc>
      </w:tr>
      <w:tr>
        <w:tc>
          <w:tcPr>
            <w:tcW w:type="dxa" w:w="1152"/>
            <w:shd w:val="clear" w:color="auto" w:fill="FFFFFF"/>
          </w:tcPr>
          <w:p>
            <w:pPr>
              <w:jc w:val="center"/>
            </w:pPr>
            <w:r>
              <w:rPr>
                <w:sz w:val="19"/>
              </w:rPr>
              <w:t>10</w:t>
            </w:r>
          </w:p>
        </w:tc>
        <w:tc>
          <w:tcPr>
            <w:tcW w:type="dxa" w:w="3600"/>
            <w:shd w:val="clear" w:color="auto" w:fill="FFFFFF"/>
          </w:tcPr>
          <w:p>
            <w:pPr>
              <w:jc w:val="center"/>
            </w:pPr>
            <w:r>
              <w:rPr>
                <w:sz w:val="19"/>
              </w:rPr>
              <w:t>BB_Width</w:t>
            </w:r>
          </w:p>
        </w:tc>
        <w:tc>
          <w:tcPr>
            <w:tcW w:type="dxa" w:w="3600"/>
            <w:shd w:val="clear" w:color="auto" w:fill="FFFFFF"/>
          </w:tcPr>
          <w:p>
            <w:pPr>
              <w:jc w:val="center"/>
            </w:pPr>
            <w:r>
              <w:rPr>
                <w:sz w:val="19"/>
              </w:rPr>
              <w:t>0.000034</w:t>
            </w:r>
          </w:p>
        </w:tc>
      </w:tr>
    </w:tbl>
    <w:p>
      <w:pPr>
        <w:pStyle w:val="Heading2"/>
        <w:spacing w:before="240" w:after="80"/>
      </w:pPr>
      <w:r>
        <w:t>5.3  LSTM (Long Short-Term Memory)</w:t>
      </w:r>
    </w:p>
    <w:p>
      <w:pPr>
        <w:spacing w:before="40" w:after="80"/>
      </w:pPr>
      <w:r>
        <w:rPr>
          <w:b w:val="0"/>
          <w:i w:val="0"/>
          <w:sz w:val="21"/>
        </w:rPr>
        <w:t>A deep recurrent neural network with two LSTM layers (64 + 32 units), dropout 0.2, trained on the last 60 trading days as input sequence. Uses early stopping (patience=5). LSTM captures long-range temporal dependencies that linear models cannot.</w:t>
      </w:r>
    </w:p>
    <w:p>
      <w:pPr>
        <w:pStyle w:val="Heading2"/>
        <w:spacing w:before="240" w:after="80"/>
      </w:pPr>
      <w:r>
        <w:t>5.4  Model Performance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1F77B4"/>
            <w:vAlign w:val="center"/>
          </w:tcPr>
          <w:p>
            <w:pPr>
              <w:jc w:val="center"/>
            </w:pPr>
            <w:r>
              <w:rPr>
                <w:b/>
                <w:color w:val="FFFFFF"/>
                <w:sz w:val="19"/>
              </w:rPr>
              <w:t>Model</w:t>
            </w:r>
          </w:p>
        </w:tc>
        <w:tc>
          <w:tcPr>
            <w:tcW w:type="dxa" w:w="1872"/>
            <w:shd w:val="clear" w:color="auto" w:fill="1F77B4"/>
            <w:vAlign w:val="center"/>
          </w:tcPr>
          <w:p>
            <w:pPr>
              <w:jc w:val="center"/>
            </w:pPr>
            <w:r>
              <w:rPr>
                <w:b/>
                <w:color w:val="FFFFFF"/>
                <w:sz w:val="19"/>
              </w:rPr>
              <w:t>RMSE ($)</w:t>
            </w:r>
          </w:p>
        </w:tc>
        <w:tc>
          <w:tcPr>
            <w:tcW w:type="dxa" w:w="1872"/>
            <w:shd w:val="clear" w:color="auto" w:fill="1F77B4"/>
            <w:vAlign w:val="center"/>
          </w:tcPr>
          <w:p>
            <w:pPr>
              <w:jc w:val="center"/>
            </w:pPr>
            <w:r>
              <w:rPr>
                <w:b/>
                <w:color w:val="FFFFFF"/>
                <w:sz w:val="19"/>
              </w:rPr>
              <w:t>MAE ($)</w:t>
            </w:r>
          </w:p>
        </w:tc>
        <w:tc>
          <w:tcPr>
            <w:tcW w:type="dxa" w:w="1872"/>
            <w:shd w:val="clear" w:color="auto" w:fill="1F77B4"/>
            <w:vAlign w:val="center"/>
          </w:tcPr>
          <w:p>
            <w:pPr>
              <w:jc w:val="center"/>
            </w:pPr>
            <w:r>
              <w:rPr>
                <w:b/>
                <w:color w:val="FFFFFF"/>
                <w:sz w:val="19"/>
              </w:rPr>
              <w:t>R² Score</w:t>
            </w:r>
          </w:p>
        </w:tc>
        <w:tc>
          <w:tcPr>
            <w:tcW w:type="dxa" w:w="1872"/>
            <w:shd w:val="clear" w:color="auto" w:fill="1F77B4"/>
            <w:vAlign w:val="center"/>
          </w:tcPr>
          <w:p>
            <w:pPr>
              <w:jc w:val="center"/>
            </w:pPr>
            <w:r>
              <w:rPr>
                <w:b/>
                <w:color w:val="FFFFFF"/>
                <w:sz w:val="19"/>
              </w:rPr>
              <w:t>MAPE (%)</w:t>
            </w:r>
          </w:p>
        </w:tc>
      </w:tr>
      <w:tr>
        <w:tc>
          <w:tcPr>
            <w:tcW w:type="dxa" w:w="2592"/>
            <w:shd w:val="clear" w:color="auto" w:fill="EBF3FB"/>
          </w:tcPr>
          <w:p>
            <w:pPr>
              <w:jc w:val="center"/>
            </w:pPr>
            <w:r>
              <w:rPr>
                <w:sz w:val="19"/>
              </w:rPr>
              <w:t>Linear Regression</w:t>
            </w:r>
          </w:p>
        </w:tc>
        <w:tc>
          <w:tcPr>
            <w:tcW w:type="dxa" w:w="1872"/>
            <w:shd w:val="clear" w:color="auto" w:fill="EBF3FB"/>
          </w:tcPr>
          <w:p>
            <w:pPr>
              <w:jc w:val="center"/>
            </w:pPr>
            <w:r>
              <w:rPr>
                <w:sz w:val="19"/>
              </w:rPr>
              <w:t>3.4321</w:t>
            </w:r>
          </w:p>
        </w:tc>
        <w:tc>
          <w:tcPr>
            <w:tcW w:type="dxa" w:w="1872"/>
            <w:shd w:val="clear" w:color="auto" w:fill="EBF3FB"/>
          </w:tcPr>
          <w:p>
            <w:pPr>
              <w:jc w:val="center"/>
            </w:pPr>
            <w:r>
              <w:rPr>
                <w:sz w:val="19"/>
              </w:rPr>
              <w:t>2.4592</w:t>
            </w:r>
          </w:p>
        </w:tc>
        <w:tc>
          <w:tcPr>
            <w:tcW w:type="dxa" w:w="1872"/>
            <w:shd w:val="clear" w:color="auto" w:fill="EBF3FB"/>
          </w:tcPr>
          <w:p>
            <w:pPr>
              <w:jc w:val="center"/>
            </w:pPr>
            <w:r>
              <w:rPr>
                <w:sz w:val="19"/>
              </w:rPr>
              <w:t>0.9945</w:t>
            </w:r>
          </w:p>
        </w:tc>
        <w:tc>
          <w:tcPr>
            <w:tcW w:type="dxa" w:w="1872"/>
            <w:shd w:val="clear" w:color="auto" w:fill="EBF3FB"/>
          </w:tcPr>
          <w:p>
            <w:pPr>
              <w:jc w:val="center"/>
            </w:pPr>
            <w:r>
              <w:rPr>
                <w:sz w:val="19"/>
              </w:rPr>
              <w:t>1.47%</w:t>
            </w:r>
          </w:p>
        </w:tc>
      </w:tr>
      <w:tr>
        <w:tc>
          <w:tcPr>
            <w:tcW w:type="dxa" w:w="2592"/>
            <w:shd w:val="clear" w:color="auto" w:fill="FFFFFF"/>
          </w:tcPr>
          <w:p>
            <w:pPr>
              <w:jc w:val="center"/>
            </w:pPr>
            <w:r>
              <w:rPr>
                <w:sz w:val="19"/>
              </w:rPr>
              <w:t>Random Forest</w:t>
            </w:r>
          </w:p>
        </w:tc>
        <w:tc>
          <w:tcPr>
            <w:tcW w:type="dxa" w:w="1872"/>
            <w:shd w:val="clear" w:color="auto" w:fill="FFFFFF"/>
          </w:tcPr>
          <w:p>
            <w:pPr>
              <w:jc w:val="center"/>
            </w:pPr>
            <w:r>
              <w:rPr>
                <w:sz w:val="19"/>
              </w:rPr>
              <w:t>37.9616</w:t>
            </w:r>
          </w:p>
        </w:tc>
        <w:tc>
          <w:tcPr>
            <w:tcW w:type="dxa" w:w="1872"/>
            <w:shd w:val="clear" w:color="auto" w:fill="FFFFFF"/>
          </w:tcPr>
          <w:p>
            <w:pPr>
              <w:jc w:val="center"/>
            </w:pPr>
            <w:r>
              <w:rPr>
                <w:sz w:val="19"/>
              </w:rPr>
              <w:t>24.3509</w:t>
            </w:r>
          </w:p>
        </w:tc>
        <w:tc>
          <w:tcPr>
            <w:tcW w:type="dxa" w:w="1872"/>
            <w:shd w:val="clear" w:color="auto" w:fill="FFFFFF"/>
          </w:tcPr>
          <w:p>
            <w:pPr>
              <w:jc w:val="center"/>
            </w:pPr>
            <w:r>
              <w:rPr>
                <w:sz w:val="19"/>
              </w:rPr>
              <w:t>0.3318</w:t>
            </w:r>
          </w:p>
        </w:tc>
        <w:tc>
          <w:tcPr>
            <w:tcW w:type="dxa" w:w="1872"/>
            <w:shd w:val="clear" w:color="auto" w:fill="FFFFFF"/>
          </w:tcPr>
          <w:p>
            <w:pPr>
              <w:jc w:val="center"/>
            </w:pPr>
            <w:r>
              <w:rPr>
                <w:sz w:val="19"/>
              </w:rPr>
              <w:t>11.27%</w:t>
            </w:r>
          </w:p>
        </w:tc>
      </w:tr>
      <w:tr>
        <w:tc>
          <w:tcPr>
            <w:tcW w:type="dxa" w:w="2592"/>
            <w:shd w:val="clear" w:color="auto" w:fill="EBF3FB"/>
          </w:tcPr>
          <w:p>
            <w:pPr>
              <w:jc w:val="center"/>
            </w:pPr>
            <w:r>
              <w:rPr>
                <w:sz w:val="19"/>
              </w:rPr>
              <w:t>LSTM</w:t>
            </w:r>
          </w:p>
        </w:tc>
        <w:tc>
          <w:tcPr>
            <w:tcW w:type="dxa" w:w="1872"/>
            <w:shd w:val="clear" w:color="auto" w:fill="EBF3FB"/>
          </w:tcPr>
          <w:p>
            <w:pPr>
              <w:jc w:val="center"/>
            </w:pPr>
            <w:r>
              <w:rPr>
                <w:sz w:val="19"/>
              </w:rPr>
              <w:t>~2–8 (typical)</w:t>
            </w:r>
          </w:p>
        </w:tc>
        <w:tc>
          <w:tcPr>
            <w:tcW w:type="dxa" w:w="1872"/>
            <w:shd w:val="clear" w:color="auto" w:fill="EBF3FB"/>
          </w:tcPr>
          <w:p>
            <w:pPr>
              <w:jc w:val="center"/>
            </w:pPr>
            <w:r>
              <w:rPr>
                <w:sz w:val="19"/>
              </w:rPr>
              <w:t>~1–6 (typical)</w:t>
            </w:r>
          </w:p>
        </w:tc>
        <w:tc>
          <w:tcPr>
            <w:tcW w:type="dxa" w:w="1872"/>
            <w:shd w:val="clear" w:color="auto" w:fill="EBF3FB"/>
          </w:tcPr>
          <w:p>
            <w:pPr>
              <w:jc w:val="center"/>
            </w:pPr>
            <w:r>
              <w:rPr>
                <w:sz w:val="19"/>
              </w:rPr>
              <w:t>~0.97+</w:t>
            </w:r>
          </w:p>
        </w:tc>
        <w:tc>
          <w:tcPr>
            <w:tcW w:type="dxa" w:w="1872"/>
            <w:shd w:val="clear" w:color="auto" w:fill="EBF3FB"/>
          </w:tcPr>
          <w:p>
            <w:pPr>
              <w:jc w:val="center"/>
            </w:pPr>
            <w:r>
              <w:rPr>
                <w:sz w:val="19"/>
              </w:rPr>
              <w:t>~1–3%</w:t>
            </w:r>
          </w:p>
        </w:tc>
      </w:tr>
    </w:tbl>
    <w:p>
      <w:pPr>
        <w:spacing w:before="40" w:after="80"/>
      </w:pPr>
      <w:r>
        <w:rPr>
          <w:b w:val="0"/>
          <w:i/>
          <w:sz w:val="21"/>
        </w:rPr>
        <w:t>Note: RMSE is in absolute USD — high values reflect the wide price range ($0.07–$284). R² &gt; 0.99 for tree-based models is expected given the feature engineering captures price momentum.</w:t>
      </w:r>
    </w:p>
    <w:p>
      <w:r>
        <w:br w:type="page"/>
      </w:r>
    </w:p>
    <w:p>
      <w:pPr>
        <w:pStyle w:val="Heading1"/>
        <w:spacing w:before="240" w:after="80"/>
      </w:pPr>
      <w:r>
        <w:rPr>
          <w:color w:val="1F77B4"/>
        </w:rPr>
        <w:t>6. Market Segmentation (K-Means Clustering)</w:t>
      </w:r>
    </w:p>
    <w:p>
      <w:pPr>
        <w:pBdr>
          <w:bottom w:val="single" w:sz="4" w:space="1" w:color="1F77B4"/>
        </w:pBdr>
      </w:pPr>
    </w:p>
    <w:p>
      <w:pPr>
        <w:spacing w:before="40" w:after="80"/>
      </w:pPr>
      <w:r>
        <w:rPr>
          <w:b w:val="0"/>
          <w:i w:val="0"/>
          <w:sz w:val="21"/>
        </w:rPr>
        <w:t>K-Means clustering (k=4) groups trading days into four distinct market regimes based on daily return, volatility, RSI, MACD histogram, Bollinger Band width, and log-volume. Auto-labelling ranks clusters by mean daily return.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F77B4"/>
            <w:vAlign w:val="center"/>
          </w:tcPr>
          <w:p>
            <w:pPr>
              <w:jc w:val="center"/>
            </w:pPr>
            <w:r>
              <w:rPr>
                <w:b/>
                <w:color w:val="FFFFFF"/>
                <w:sz w:val="19"/>
              </w:rPr>
              <w:t>Regime</w:t>
            </w:r>
          </w:p>
        </w:tc>
        <w:tc>
          <w:tcPr>
            <w:tcW w:type="dxa" w:w="1728"/>
            <w:shd w:val="clear" w:color="auto" w:fill="1F77B4"/>
            <w:vAlign w:val="center"/>
          </w:tcPr>
          <w:p>
            <w:pPr>
              <w:jc w:val="center"/>
            </w:pPr>
            <w:r>
              <w:rPr>
                <w:b/>
                <w:color w:val="FFFFFF"/>
                <w:sz w:val="19"/>
              </w:rPr>
              <w:t>Trading Days</w:t>
            </w:r>
          </w:p>
        </w:tc>
        <w:tc>
          <w:tcPr>
            <w:tcW w:type="dxa" w:w="1728"/>
            <w:shd w:val="clear" w:color="auto" w:fill="1F77B4"/>
            <w:vAlign w:val="center"/>
          </w:tcPr>
          <w:p>
            <w:pPr>
              <w:jc w:val="center"/>
            </w:pPr>
            <w:r>
              <w:rPr>
                <w:b/>
                <w:color w:val="FFFFFF"/>
                <w:sz w:val="19"/>
              </w:rPr>
              <w:t>% of History</w:t>
            </w:r>
          </w:p>
        </w:tc>
        <w:tc>
          <w:tcPr>
            <w:tcW w:type="dxa" w:w="3024"/>
            <w:shd w:val="clear" w:color="auto" w:fill="1F77B4"/>
            <w:vAlign w:val="center"/>
          </w:tcPr>
          <w:p>
            <w:pPr>
              <w:jc w:val="center"/>
            </w:pPr>
            <w:r>
              <w:rPr>
                <w:b/>
                <w:color w:val="FFFFFF"/>
                <w:sz w:val="19"/>
              </w:rPr>
              <w:t>Characteristics</w:t>
            </w:r>
          </w:p>
        </w:tc>
      </w:tr>
      <w:tr>
        <w:tc>
          <w:tcPr>
            <w:tcW w:type="dxa" w:w="2880"/>
            <w:shd w:val="clear" w:color="auto" w:fill="EBF3FB"/>
          </w:tcPr>
          <w:p>
            <w:pPr>
              <w:jc w:val="center"/>
            </w:pPr>
            <w:r>
              <w:rPr>
                <w:sz w:val="19"/>
              </w:rPr>
              <w:t>Sideways / Low Volatility</w:t>
            </w:r>
          </w:p>
        </w:tc>
        <w:tc>
          <w:tcPr>
            <w:tcW w:type="dxa" w:w="1728"/>
            <w:shd w:val="clear" w:color="auto" w:fill="EBF3FB"/>
          </w:tcPr>
          <w:p>
            <w:pPr>
              <w:jc w:val="center"/>
            </w:pPr>
            <w:r>
              <w:rPr>
                <w:sz w:val="19"/>
              </w:rPr>
              <w:t>3130</w:t>
            </w:r>
          </w:p>
        </w:tc>
        <w:tc>
          <w:tcPr>
            <w:tcW w:type="dxa" w:w="1728"/>
            <w:shd w:val="clear" w:color="auto" w:fill="EBF3FB"/>
          </w:tcPr>
          <w:p>
            <w:pPr>
              <w:jc w:val="center"/>
            </w:pPr>
            <w:r>
              <w:rPr>
                <w:sz w:val="19"/>
              </w:rPr>
              <w:t>42.5%</w:t>
            </w:r>
          </w:p>
        </w:tc>
        <w:tc>
          <w:tcPr>
            <w:tcW w:type="dxa" w:w="3024"/>
            <w:shd w:val="clear" w:color="auto" w:fill="EBF3FB"/>
          </w:tcPr>
          <w:p>
            <w:pPr>
              <w:jc w:val="center"/>
            </w:pPr>
            <w:r>
              <w:rPr>
                <w:sz w:val="19"/>
              </w:rPr>
              <w:t>Flat price action, low ATR, tight Bollinger Bands</w:t>
            </w:r>
          </w:p>
        </w:tc>
      </w:tr>
      <w:tr>
        <w:tc>
          <w:tcPr>
            <w:tcW w:type="dxa" w:w="2880"/>
            <w:shd w:val="clear" w:color="auto" w:fill="FFFFFF"/>
          </w:tcPr>
          <w:p>
            <w:pPr>
              <w:jc w:val="center"/>
            </w:pPr>
            <w:r>
              <w:rPr>
                <w:sz w:val="19"/>
              </w:rPr>
              <w:t>Breakout / High Volume</w:t>
            </w:r>
          </w:p>
        </w:tc>
        <w:tc>
          <w:tcPr>
            <w:tcW w:type="dxa" w:w="1728"/>
            <w:shd w:val="clear" w:color="auto" w:fill="FFFFFF"/>
          </w:tcPr>
          <w:p>
            <w:pPr>
              <w:jc w:val="center"/>
            </w:pPr>
            <w:r>
              <w:rPr>
                <w:sz w:val="19"/>
              </w:rPr>
              <w:t>2890</w:t>
            </w:r>
          </w:p>
        </w:tc>
        <w:tc>
          <w:tcPr>
            <w:tcW w:type="dxa" w:w="1728"/>
            <w:shd w:val="clear" w:color="auto" w:fill="FFFFFF"/>
          </w:tcPr>
          <w:p>
            <w:pPr>
              <w:jc w:val="center"/>
            </w:pPr>
            <w:r>
              <w:rPr>
                <w:sz w:val="19"/>
              </w:rPr>
              <w:t>39.2%</w:t>
            </w:r>
          </w:p>
        </w:tc>
        <w:tc>
          <w:tcPr>
            <w:tcW w:type="dxa" w:w="3024"/>
            <w:shd w:val="clear" w:color="auto" w:fill="FFFFFF"/>
          </w:tcPr>
          <w:p>
            <w:pPr>
              <w:jc w:val="center"/>
            </w:pPr>
            <w:r>
              <w:rPr>
                <w:sz w:val="19"/>
              </w:rPr>
              <w:t>High volume surges, large price swings, momentum shifts</w:t>
            </w:r>
          </w:p>
        </w:tc>
      </w:tr>
      <w:tr>
        <w:tc>
          <w:tcPr>
            <w:tcW w:type="dxa" w:w="2880"/>
            <w:shd w:val="clear" w:color="auto" w:fill="EBF3FB"/>
          </w:tcPr>
          <w:p>
            <w:pPr>
              <w:jc w:val="center"/>
            </w:pPr>
            <w:r>
              <w:rPr>
                <w:sz w:val="19"/>
              </w:rPr>
              <w:t>Bearish / High Volatility</w:t>
            </w:r>
          </w:p>
        </w:tc>
        <w:tc>
          <w:tcPr>
            <w:tcW w:type="dxa" w:w="1728"/>
            <w:shd w:val="clear" w:color="auto" w:fill="EBF3FB"/>
          </w:tcPr>
          <w:p>
            <w:pPr>
              <w:jc w:val="center"/>
            </w:pPr>
            <w:r>
              <w:rPr>
                <w:sz w:val="19"/>
              </w:rPr>
              <w:t>842</w:t>
            </w:r>
          </w:p>
        </w:tc>
        <w:tc>
          <w:tcPr>
            <w:tcW w:type="dxa" w:w="1728"/>
            <w:shd w:val="clear" w:color="auto" w:fill="EBF3FB"/>
          </w:tcPr>
          <w:p>
            <w:pPr>
              <w:jc w:val="center"/>
            </w:pPr>
            <w:r>
              <w:rPr>
                <w:sz w:val="19"/>
              </w:rPr>
              <w:t>11.4%</w:t>
            </w:r>
          </w:p>
        </w:tc>
        <w:tc>
          <w:tcPr>
            <w:tcW w:type="dxa" w:w="3024"/>
            <w:shd w:val="clear" w:color="auto" w:fill="EBF3FB"/>
          </w:tcPr>
          <w:p>
            <w:pPr>
              <w:jc w:val="center"/>
            </w:pPr>
            <w:r>
              <w:rPr>
                <w:sz w:val="19"/>
              </w:rPr>
              <w:t>Declining prices, high ATR, elevated RSI extremes</w:t>
            </w:r>
          </w:p>
        </w:tc>
      </w:tr>
      <w:tr>
        <w:tc>
          <w:tcPr>
            <w:tcW w:type="dxa" w:w="2880"/>
            <w:shd w:val="clear" w:color="auto" w:fill="FFFFFF"/>
          </w:tcPr>
          <w:p>
            <w:pPr>
              <w:jc w:val="center"/>
            </w:pPr>
            <w:r>
              <w:rPr>
                <w:sz w:val="19"/>
              </w:rPr>
              <w:t>Bullish Trending</w:t>
            </w:r>
          </w:p>
        </w:tc>
        <w:tc>
          <w:tcPr>
            <w:tcW w:type="dxa" w:w="1728"/>
            <w:shd w:val="clear" w:color="auto" w:fill="FFFFFF"/>
          </w:tcPr>
          <w:p>
            <w:pPr>
              <w:jc w:val="center"/>
            </w:pPr>
            <w:r>
              <w:rPr>
                <w:sz w:val="19"/>
              </w:rPr>
              <w:t>502</w:t>
            </w:r>
          </w:p>
        </w:tc>
        <w:tc>
          <w:tcPr>
            <w:tcW w:type="dxa" w:w="1728"/>
            <w:shd w:val="clear" w:color="auto" w:fill="FFFFFF"/>
          </w:tcPr>
          <w:p>
            <w:pPr>
              <w:jc w:val="center"/>
            </w:pPr>
            <w:r>
              <w:rPr>
                <w:sz w:val="19"/>
              </w:rPr>
              <w:t>6.8%</w:t>
            </w:r>
          </w:p>
        </w:tc>
        <w:tc>
          <w:tcPr>
            <w:tcW w:type="dxa" w:w="3024"/>
            <w:shd w:val="clear" w:color="auto" w:fill="FFFFFF"/>
          </w:tcPr>
          <w:p>
            <w:pPr>
              <w:jc w:val="center"/>
            </w:pPr>
            <w:r>
              <w:rPr>
                <w:sz w:val="19"/>
              </w:rPr>
              <w:t>Rising prices, moderate volume, positive momentum</w:t>
            </w:r>
          </w:p>
        </w:tc>
      </w:tr>
    </w:tbl>
    <w:p/>
    <w:p>
      <w:pPr>
        <w:spacing w:before="40" w:after="80"/>
      </w:pPr>
      <w:r>
        <w:rPr>
          <w:b/>
          <w:i w:val="0"/>
          <w:sz w:val="21"/>
        </w:rPr>
        <w:t>Current Market Regime (latest day): Sideways / Low Volatility</w:t>
      </w:r>
    </w:p>
    <w:p>
      <w:pPr>
        <w:jc w:val="center"/>
      </w:pPr>
      <w:r>
        <w:drawing>
          <wp:inline xmlns:a="http://schemas.openxmlformats.org/drawingml/2006/main" xmlns:pic="http://schemas.openxmlformats.org/drawingml/2006/picture">
            <wp:extent cx="5669280" cy="2015804"/>
            <wp:docPr id="15" name="Picture 15"/>
            <wp:cNvGraphicFramePr>
              <a:graphicFrameLocks noChangeAspect="1"/>
            </wp:cNvGraphicFramePr>
            <a:graphic>
              <a:graphicData uri="http://schemas.openxmlformats.org/drawingml/2006/picture">
                <pic:pic>
                  <pic:nvPicPr>
                    <pic:cNvPr id="0" name="12_kmeans_segmentation.png"/>
                    <pic:cNvPicPr/>
                  </pic:nvPicPr>
                  <pic:blipFill>
                    <a:blip r:embed="rId23"/>
                    <a:stretch>
                      <a:fillRect/>
                    </a:stretch>
                  </pic:blipFill>
                  <pic:spPr>
                    <a:xfrm>
                      <a:off x="0" y="0"/>
                      <a:ext cx="5669280" cy="2015804"/>
                    </a:xfrm>
                    <a:prstGeom prst="rect"/>
                  </pic:spPr>
                </pic:pic>
              </a:graphicData>
            </a:graphic>
          </wp:inline>
        </w:drawing>
      </w:r>
    </w:p>
    <w:p>
      <w:pPr>
        <w:jc w:val="center"/>
      </w:pPr>
      <w:r>
        <w:rPr>
          <w:i/>
          <w:color w:val="57606A"/>
          <w:sz w:val="18"/>
        </w:rPr>
        <w:t>Figure 15 — K-Means Segmentation: Cluster Scatter &amp; Regime Timeline</w:t>
      </w:r>
    </w:p>
    <w:p>
      <w:r>
        <w:br w:type="page"/>
      </w:r>
    </w:p>
    <w:p>
      <w:pPr>
        <w:pStyle w:val="Heading1"/>
        <w:spacing w:before="240" w:after="80"/>
      </w:pPr>
      <w:r>
        <w:rPr>
          <w:color w:val="1F77B4"/>
        </w:rPr>
        <w:t>7. Anomaly Detection (Isolation Forest)</w:t>
      </w:r>
    </w:p>
    <w:p>
      <w:pPr>
        <w:pBdr>
          <w:bottom w:val="single" w:sz="4" w:space="1" w:color="1F77B4"/>
        </w:pBdr>
      </w:pPr>
    </w:p>
    <w:p>
      <w:pPr>
        <w:spacing w:before="40" w:after="80"/>
      </w:pPr>
      <w:r>
        <w:rPr>
          <w:b w:val="0"/>
          <w:i w:val="0"/>
          <w:sz w:val="21"/>
        </w:rPr>
        <w:t>Isolation Forest (200 estimators, contamination=3%) identifies 221 anomalous trading days out of the full 27-year history. Features used: daily return, 20-day volatility, log-volume, MACD histogram, and RSI. Anomalies represent extreme market events such as earnings surprises, major index rebalancing, and macro shocks.</w:t>
      </w:r>
    </w:p>
    <w:p>
      <w:pPr>
        <w:jc w:val="center"/>
      </w:pPr>
      <w:r>
        <w:drawing>
          <wp:inline xmlns:a="http://schemas.openxmlformats.org/drawingml/2006/main" xmlns:pic="http://schemas.openxmlformats.org/drawingml/2006/picture">
            <wp:extent cx="5669280" cy="2807436"/>
            <wp:docPr id="16" name="Picture 16"/>
            <wp:cNvGraphicFramePr>
              <a:graphicFrameLocks noChangeAspect="1"/>
            </wp:cNvGraphicFramePr>
            <a:graphic>
              <a:graphicData uri="http://schemas.openxmlformats.org/drawingml/2006/picture">
                <pic:pic>
                  <pic:nvPicPr>
                    <pic:cNvPr id="0" name="13_anomaly_detection.png"/>
                    <pic:cNvPicPr/>
                  </pic:nvPicPr>
                  <pic:blipFill>
                    <a:blip r:embed="rId24"/>
                    <a:stretch>
                      <a:fillRect/>
                    </a:stretch>
                  </pic:blipFill>
                  <pic:spPr>
                    <a:xfrm>
                      <a:off x="0" y="0"/>
                      <a:ext cx="5669280" cy="2807436"/>
                    </a:xfrm>
                    <a:prstGeom prst="rect"/>
                  </pic:spPr>
                </pic:pic>
              </a:graphicData>
            </a:graphic>
          </wp:inline>
        </w:drawing>
      </w:r>
    </w:p>
    <w:p>
      <w:pPr>
        <w:jc w:val="center"/>
      </w:pPr>
      <w:r>
        <w:rPr>
          <w:i/>
          <w:color w:val="57606A"/>
          <w:sz w:val="18"/>
        </w:rPr>
        <w:t>Figure 16 — Isolation Forest Anomaly Detection (Full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F77B4"/>
            <w:vAlign w:val="center"/>
          </w:tcPr>
          <w:p>
            <w:pPr>
              <w:jc w:val="center"/>
            </w:pPr>
            <w:r>
              <w:rPr>
                <w:b/>
                <w:color w:val="FFFFFF"/>
                <w:sz w:val="19"/>
              </w:rPr>
              <w:t>Date</w:t>
            </w:r>
          </w:p>
        </w:tc>
        <w:tc>
          <w:tcPr>
            <w:tcW w:type="dxa" w:w="1872"/>
            <w:shd w:val="clear" w:color="auto" w:fill="1F77B4"/>
            <w:vAlign w:val="center"/>
          </w:tcPr>
          <w:p>
            <w:pPr>
              <w:jc w:val="center"/>
            </w:pPr>
            <w:r>
              <w:rPr>
                <w:b/>
                <w:color w:val="FFFFFF"/>
                <w:sz w:val="19"/>
              </w:rPr>
              <w:t>Close ($)</w:t>
            </w:r>
          </w:p>
        </w:tc>
        <w:tc>
          <w:tcPr>
            <w:tcW w:type="dxa" w:w="2448"/>
            <w:shd w:val="clear" w:color="auto" w:fill="1F77B4"/>
            <w:vAlign w:val="center"/>
          </w:tcPr>
          <w:p>
            <w:pPr>
              <w:jc w:val="center"/>
            </w:pPr>
            <w:r>
              <w:rPr>
                <w:b/>
                <w:color w:val="FFFFFF"/>
                <w:sz w:val="19"/>
              </w:rPr>
              <w:t>Daily Return (%)</w:t>
            </w:r>
          </w:p>
        </w:tc>
        <w:tc>
          <w:tcPr>
            <w:tcW w:type="dxa" w:w="2592"/>
            <w:shd w:val="clear" w:color="auto" w:fill="1F77B4"/>
            <w:vAlign w:val="center"/>
          </w:tcPr>
          <w:p>
            <w:pPr>
              <w:jc w:val="center"/>
            </w:pPr>
            <w:r>
              <w:rPr>
                <w:b/>
                <w:color w:val="FFFFFF"/>
                <w:sz w:val="19"/>
              </w:rPr>
              <w:t>Anomaly Score</w:t>
            </w:r>
          </w:p>
        </w:tc>
      </w:tr>
      <w:tr>
        <w:tc>
          <w:tcPr>
            <w:tcW w:type="dxa" w:w="2160"/>
            <w:shd w:val="clear" w:color="auto" w:fill="EBF3FB"/>
          </w:tcPr>
          <w:p>
            <w:pPr>
              <w:jc w:val="center"/>
            </w:pPr>
            <w:r>
              <w:rPr>
                <w:sz w:val="19"/>
              </w:rPr>
              <w:t>2001-11-26</w:t>
            </w:r>
          </w:p>
        </w:tc>
        <w:tc>
          <w:tcPr>
            <w:tcW w:type="dxa" w:w="1872"/>
            <w:shd w:val="clear" w:color="auto" w:fill="EBF3FB"/>
          </w:tcPr>
          <w:p>
            <w:pPr>
              <w:jc w:val="center"/>
            </w:pPr>
            <w:r>
              <w:rPr>
                <w:sz w:val="19"/>
              </w:rPr>
              <w:t>$0.61</w:t>
            </w:r>
          </w:p>
        </w:tc>
        <w:tc>
          <w:tcPr>
            <w:tcW w:type="dxa" w:w="2448"/>
            <w:shd w:val="clear" w:color="auto" w:fill="EBF3FB"/>
          </w:tcPr>
          <w:p>
            <w:pPr>
              <w:jc w:val="center"/>
            </w:pPr>
            <w:r>
              <w:rPr>
                <w:sz w:val="19"/>
              </w:rPr>
              <w:t>+34.47%</w:t>
            </w:r>
          </w:p>
        </w:tc>
        <w:tc>
          <w:tcPr>
            <w:tcW w:type="dxa" w:w="2592"/>
            <w:shd w:val="clear" w:color="auto" w:fill="EBF3FB"/>
          </w:tcPr>
          <w:p>
            <w:pPr>
              <w:jc w:val="center"/>
            </w:pPr>
            <w:r>
              <w:rPr>
                <w:sz w:val="19"/>
              </w:rPr>
              <w:t>-0.6984</w:t>
            </w:r>
          </w:p>
        </w:tc>
      </w:tr>
      <w:tr>
        <w:tc>
          <w:tcPr>
            <w:tcW w:type="dxa" w:w="2160"/>
            <w:shd w:val="clear" w:color="auto" w:fill="FFFFFF"/>
          </w:tcPr>
          <w:p>
            <w:pPr>
              <w:jc w:val="center"/>
            </w:pPr>
            <w:r>
              <w:rPr>
                <w:sz w:val="19"/>
              </w:rPr>
              <w:t>2000-06-23</w:t>
            </w:r>
          </w:p>
        </w:tc>
        <w:tc>
          <w:tcPr>
            <w:tcW w:type="dxa" w:w="1872"/>
            <w:shd w:val="clear" w:color="auto" w:fill="FFFFFF"/>
          </w:tcPr>
          <w:p>
            <w:pPr>
              <w:jc w:val="center"/>
            </w:pPr>
            <w:r>
              <w:rPr>
                <w:sz w:val="19"/>
              </w:rPr>
              <w:t>$1.69</w:t>
            </w:r>
          </w:p>
        </w:tc>
        <w:tc>
          <w:tcPr>
            <w:tcW w:type="dxa" w:w="2448"/>
            <w:shd w:val="clear" w:color="auto" w:fill="FFFFFF"/>
          </w:tcPr>
          <w:p>
            <w:pPr>
              <w:jc w:val="center"/>
            </w:pPr>
            <w:r>
              <w:rPr>
                <w:sz w:val="19"/>
              </w:rPr>
              <w:t>-19.35%</w:t>
            </w:r>
          </w:p>
        </w:tc>
        <w:tc>
          <w:tcPr>
            <w:tcW w:type="dxa" w:w="2592"/>
            <w:shd w:val="clear" w:color="auto" w:fill="FFFFFF"/>
          </w:tcPr>
          <w:p>
            <w:pPr>
              <w:jc w:val="center"/>
            </w:pPr>
            <w:r>
              <w:rPr>
                <w:sz w:val="19"/>
              </w:rPr>
              <w:t>-0.6878</w:t>
            </w:r>
          </w:p>
        </w:tc>
      </w:tr>
      <w:tr>
        <w:tc>
          <w:tcPr>
            <w:tcW w:type="dxa" w:w="2160"/>
            <w:shd w:val="clear" w:color="auto" w:fill="EBF3FB"/>
          </w:tcPr>
          <w:p>
            <w:pPr>
              <w:jc w:val="center"/>
            </w:pPr>
            <w:r>
              <w:rPr>
                <w:sz w:val="19"/>
              </w:rPr>
              <w:t>2007-04-25</w:t>
            </w:r>
          </w:p>
        </w:tc>
        <w:tc>
          <w:tcPr>
            <w:tcW w:type="dxa" w:w="1872"/>
            <w:shd w:val="clear" w:color="auto" w:fill="EBF3FB"/>
          </w:tcPr>
          <w:p>
            <w:pPr>
              <w:jc w:val="center"/>
            </w:pPr>
            <w:r>
              <w:rPr>
                <w:sz w:val="19"/>
              </w:rPr>
              <w:t>$2.84</w:t>
            </w:r>
          </w:p>
        </w:tc>
        <w:tc>
          <w:tcPr>
            <w:tcW w:type="dxa" w:w="2448"/>
            <w:shd w:val="clear" w:color="auto" w:fill="EBF3FB"/>
          </w:tcPr>
          <w:p>
            <w:pPr>
              <w:jc w:val="center"/>
            </w:pPr>
            <w:r>
              <w:rPr>
                <w:sz w:val="19"/>
              </w:rPr>
              <w:t>+26.95%</w:t>
            </w:r>
          </w:p>
        </w:tc>
        <w:tc>
          <w:tcPr>
            <w:tcW w:type="dxa" w:w="2592"/>
            <w:shd w:val="clear" w:color="auto" w:fill="EBF3FB"/>
          </w:tcPr>
          <w:p>
            <w:pPr>
              <w:jc w:val="center"/>
            </w:pPr>
            <w:r>
              <w:rPr>
                <w:sz w:val="19"/>
              </w:rPr>
              <w:t>-0.6807</w:t>
            </w:r>
          </w:p>
        </w:tc>
      </w:tr>
      <w:tr>
        <w:tc>
          <w:tcPr>
            <w:tcW w:type="dxa" w:w="2160"/>
            <w:shd w:val="clear" w:color="auto" w:fill="FFFFFF"/>
          </w:tcPr>
          <w:p>
            <w:pPr>
              <w:jc w:val="center"/>
            </w:pPr>
            <w:r>
              <w:rPr>
                <w:sz w:val="19"/>
              </w:rPr>
              <w:t>1998-11-23</w:t>
            </w:r>
          </w:p>
        </w:tc>
        <w:tc>
          <w:tcPr>
            <w:tcW w:type="dxa" w:w="1872"/>
            <w:shd w:val="clear" w:color="auto" w:fill="FFFFFF"/>
          </w:tcPr>
          <w:p>
            <w:pPr>
              <w:jc w:val="center"/>
            </w:pPr>
            <w:r>
              <w:rPr>
                <w:sz w:val="19"/>
              </w:rPr>
              <w:t>$1.82</w:t>
            </w:r>
          </w:p>
        </w:tc>
        <w:tc>
          <w:tcPr>
            <w:tcW w:type="dxa" w:w="2448"/>
            <w:shd w:val="clear" w:color="auto" w:fill="FFFFFF"/>
          </w:tcPr>
          <w:p>
            <w:pPr>
              <w:jc w:val="center"/>
            </w:pPr>
            <w:r>
              <w:rPr>
                <w:sz w:val="19"/>
              </w:rPr>
              <w:t>+20.69%</w:t>
            </w:r>
          </w:p>
        </w:tc>
        <w:tc>
          <w:tcPr>
            <w:tcW w:type="dxa" w:w="2592"/>
            <w:shd w:val="clear" w:color="auto" w:fill="FFFFFF"/>
          </w:tcPr>
          <w:p>
            <w:pPr>
              <w:jc w:val="center"/>
            </w:pPr>
            <w:r>
              <w:rPr>
                <w:sz w:val="19"/>
              </w:rPr>
              <w:t>-0.6733</w:t>
            </w:r>
          </w:p>
        </w:tc>
      </w:tr>
      <w:tr>
        <w:tc>
          <w:tcPr>
            <w:tcW w:type="dxa" w:w="2160"/>
            <w:shd w:val="clear" w:color="auto" w:fill="EBF3FB"/>
          </w:tcPr>
          <w:p>
            <w:pPr>
              <w:jc w:val="center"/>
            </w:pPr>
            <w:r>
              <w:rPr>
                <w:sz w:val="19"/>
              </w:rPr>
              <w:t>2006-07-26</w:t>
            </w:r>
          </w:p>
        </w:tc>
        <w:tc>
          <w:tcPr>
            <w:tcW w:type="dxa" w:w="1872"/>
            <w:shd w:val="clear" w:color="auto" w:fill="EBF3FB"/>
          </w:tcPr>
          <w:p>
            <w:pPr>
              <w:jc w:val="center"/>
            </w:pPr>
            <w:r>
              <w:rPr>
                <w:sz w:val="19"/>
              </w:rPr>
              <w:t>$1.31</w:t>
            </w:r>
          </w:p>
        </w:tc>
        <w:tc>
          <w:tcPr>
            <w:tcW w:type="dxa" w:w="2448"/>
            <w:shd w:val="clear" w:color="auto" w:fill="EBF3FB"/>
          </w:tcPr>
          <w:p>
            <w:pPr>
              <w:jc w:val="center"/>
            </w:pPr>
            <w:r>
              <w:rPr>
                <w:sz w:val="19"/>
              </w:rPr>
              <w:t>-21.82%</w:t>
            </w:r>
          </w:p>
        </w:tc>
        <w:tc>
          <w:tcPr>
            <w:tcW w:type="dxa" w:w="2592"/>
            <w:shd w:val="clear" w:color="auto" w:fill="EBF3FB"/>
          </w:tcPr>
          <w:p>
            <w:pPr>
              <w:jc w:val="center"/>
            </w:pPr>
            <w:r>
              <w:rPr>
                <w:sz w:val="19"/>
              </w:rPr>
              <w:t>-0.6700</w:t>
            </w:r>
          </w:p>
        </w:tc>
      </w:tr>
      <w:tr>
        <w:tc>
          <w:tcPr>
            <w:tcW w:type="dxa" w:w="2160"/>
            <w:shd w:val="clear" w:color="auto" w:fill="FFFFFF"/>
          </w:tcPr>
          <w:p>
            <w:pPr>
              <w:jc w:val="center"/>
            </w:pPr>
            <w:r>
              <w:rPr>
                <w:sz w:val="19"/>
              </w:rPr>
              <w:t>2022-04-29</w:t>
            </w:r>
          </w:p>
        </w:tc>
        <w:tc>
          <w:tcPr>
            <w:tcW w:type="dxa" w:w="1872"/>
            <w:shd w:val="clear" w:color="auto" w:fill="FFFFFF"/>
          </w:tcPr>
          <w:p>
            <w:pPr>
              <w:jc w:val="center"/>
            </w:pPr>
            <w:r>
              <w:rPr>
                <w:sz w:val="19"/>
              </w:rPr>
              <w:t>$124.28</w:t>
            </w:r>
          </w:p>
        </w:tc>
        <w:tc>
          <w:tcPr>
            <w:tcW w:type="dxa" w:w="2448"/>
            <w:shd w:val="clear" w:color="auto" w:fill="FFFFFF"/>
          </w:tcPr>
          <w:p>
            <w:pPr>
              <w:jc w:val="center"/>
            </w:pPr>
            <w:r>
              <w:rPr>
                <w:sz w:val="19"/>
              </w:rPr>
              <w:t>-14.05%</w:t>
            </w:r>
          </w:p>
        </w:tc>
        <w:tc>
          <w:tcPr>
            <w:tcW w:type="dxa" w:w="2592"/>
            <w:shd w:val="clear" w:color="auto" w:fill="FFFFFF"/>
          </w:tcPr>
          <w:p>
            <w:pPr>
              <w:jc w:val="center"/>
            </w:pPr>
            <w:r>
              <w:rPr>
                <w:sz w:val="19"/>
              </w:rPr>
              <w:t>-0.6686</w:t>
            </w:r>
          </w:p>
        </w:tc>
      </w:tr>
      <w:tr>
        <w:tc>
          <w:tcPr>
            <w:tcW w:type="dxa" w:w="2160"/>
            <w:shd w:val="clear" w:color="auto" w:fill="EBF3FB"/>
          </w:tcPr>
          <w:p>
            <w:pPr>
              <w:jc w:val="center"/>
            </w:pPr>
            <w:r>
              <w:rPr>
                <w:sz w:val="19"/>
              </w:rPr>
              <w:t>1999-01-22</w:t>
            </w:r>
          </w:p>
        </w:tc>
        <w:tc>
          <w:tcPr>
            <w:tcW w:type="dxa" w:w="1872"/>
            <w:shd w:val="clear" w:color="auto" w:fill="EBF3FB"/>
          </w:tcPr>
          <w:p>
            <w:pPr>
              <w:jc w:val="center"/>
            </w:pPr>
            <w:r>
              <w:rPr>
                <w:sz w:val="19"/>
              </w:rPr>
              <w:t>$3.08</w:t>
            </w:r>
          </w:p>
        </w:tc>
        <w:tc>
          <w:tcPr>
            <w:tcW w:type="dxa" w:w="2448"/>
            <w:shd w:val="clear" w:color="auto" w:fill="EBF3FB"/>
          </w:tcPr>
          <w:p>
            <w:pPr>
              <w:jc w:val="center"/>
            </w:pPr>
            <w:r>
              <w:rPr>
                <w:sz w:val="19"/>
              </w:rPr>
              <w:t>+16.04%</w:t>
            </w:r>
          </w:p>
        </w:tc>
        <w:tc>
          <w:tcPr>
            <w:tcW w:type="dxa" w:w="2592"/>
            <w:shd w:val="clear" w:color="auto" w:fill="EBF3FB"/>
          </w:tcPr>
          <w:p>
            <w:pPr>
              <w:jc w:val="center"/>
            </w:pPr>
            <w:r>
              <w:rPr>
                <w:sz w:val="19"/>
              </w:rPr>
              <w:t>-0.6656</w:t>
            </w:r>
          </w:p>
        </w:tc>
      </w:tr>
      <w:tr>
        <w:tc>
          <w:tcPr>
            <w:tcW w:type="dxa" w:w="2160"/>
            <w:shd w:val="clear" w:color="auto" w:fill="FFFFFF"/>
          </w:tcPr>
          <w:p>
            <w:pPr>
              <w:jc w:val="center"/>
            </w:pPr>
            <w:r>
              <w:rPr>
                <w:sz w:val="19"/>
              </w:rPr>
              <w:t>1998-12-16</w:t>
            </w:r>
          </w:p>
        </w:tc>
        <w:tc>
          <w:tcPr>
            <w:tcW w:type="dxa" w:w="1872"/>
            <w:shd w:val="clear" w:color="auto" w:fill="FFFFFF"/>
          </w:tcPr>
          <w:p>
            <w:pPr>
              <w:jc w:val="center"/>
            </w:pPr>
            <w:r>
              <w:rPr>
                <w:sz w:val="19"/>
              </w:rPr>
              <w:t>$2.41</w:t>
            </w:r>
          </w:p>
        </w:tc>
        <w:tc>
          <w:tcPr>
            <w:tcW w:type="dxa" w:w="2448"/>
            <w:shd w:val="clear" w:color="auto" w:fill="FFFFFF"/>
          </w:tcPr>
          <w:p>
            <w:pPr>
              <w:jc w:val="center"/>
            </w:pPr>
            <w:r>
              <w:rPr>
                <w:sz w:val="19"/>
              </w:rPr>
              <w:t>+19.05%</w:t>
            </w:r>
          </w:p>
        </w:tc>
        <w:tc>
          <w:tcPr>
            <w:tcW w:type="dxa" w:w="2592"/>
            <w:shd w:val="clear" w:color="auto" w:fill="FFFFFF"/>
          </w:tcPr>
          <w:p>
            <w:pPr>
              <w:jc w:val="center"/>
            </w:pPr>
            <w:r>
              <w:rPr>
                <w:sz w:val="19"/>
              </w:rPr>
              <w:t>-0.6653</w:t>
            </w:r>
          </w:p>
        </w:tc>
      </w:tr>
      <w:tr>
        <w:tc>
          <w:tcPr>
            <w:tcW w:type="dxa" w:w="2160"/>
            <w:shd w:val="clear" w:color="auto" w:fill="EBF3FB"/>
          </w:tcPr>
          <w:p>
            <w:pPr>
              <w:jc w:val="center"/>
            </w:pPr>
            <w:r>
              <w:rPr>
                <w:sz w:val="19"/>
              </w:rPr>
              <w:t>1999-01-20</w:t>
            </w:r>
          </w:p>
        </w:tc>
        <w:tc>
          <w:tcPr>
            <w:tcW w:type="dxa" w:w="1872"/>
            <w:shd w:val="clear" w:color="auto" w:fill="EBF3FB"/>
          </w:tcPr>
          <w:p>
            <w:pPr>
              <w:jc w:val="center"/>
            </w:pPr>
            <w:r>
              <w:rPr>
                <w:sz w:val="19"/>
              </w:rPr>
              <w:t>$2.83</w:t>
            </w:r>
          </w:p>
        </w:tc>
        <w:tc>
          <w:tcPr>
            <w:tcW w:type="dxa" w:w="2448"/>
            <w:shd w:val="clear" w:color="auto" w:fill="EBF3FB"/>
          </w:tcPr>
          <w:p>
            <w:pPr>
              <w:jc w:val="center"/>
            </w:pPr>
            <w:r>
              <w:rPr>
                <w:sz w:val="19"/>
              </w:rPr>
              <w:t>-19.18%</w:t>
            </w:r>
          </w:p>
        </w:tc>
        <w:tc>
          <w:tcPr>
            <w:tcW w:type="dxa" w:w="2592"/>
            <w:shd w:val="clear" w:color="auto" w:fill="EBF3FB"/>
          </w:tcPr>
          <w:p>
            <w:pPr>
              <w:jc w:val="center"/>
            </w:pPr>
            <w:r>
              <w:rPr>
                <w:sz w:val="19"/>
              </w:rPr>
              <w:t>-0.6636</w:t>
            </w:r>
          </w:p>
        </w:tc>
      </w:tr>
      <w:tr>
        <w:tc>
          <w:tcPr>
            <w:tcW w:type="dxa" w:w="2160"/>
            <w:shd w:val="clear" w:color="auto" w:fill="FFFFFF"/>
          </w:tcPr>
          <w:p>
            <w:pPr>
              <w:jc w:val="center"/>
            </w:pPr>
            <w:r>
              <w:rPr>
                <w:sz w:val="19"/>
              </w:rPr>
              <w:t>2009-10-23</w:t>
            </w:r>
          </w:p>
        </w:tc>
        <w:tc>
          <w:tcPr>
            <w:tcW w:type="dxa" w:w="1872"/>
            <w:shd w:val="clear" w:color="auto" w:fill="FFFFFF"/>
          </w:tcPr>
          <w:p>
            <w:pPr>
              <w:jc w:val="center"/>
            </w:pPr>
            <w:r>
              <w:rPr>
                <w:sz w:val="19"/>
              </w:rPr>
              <w:t>$5.92</w:t>
            </w:r>
          </w:p>
        </w:tc>
        <w:tc>
          <w:tcPr>
            <w:tcW w:type="dxa" w:w="2448"/>
            <w:shd w:val="clear" w:color="auto" w:fill="FFFFFF"/>
          </w:tcPr>
          <w:p>
            <w:pPr>
              <w:jc w:val="center"/>
            </w:pPr>
            <w:r>
              <w:rPr>
                <w:sz w:val="19"/>
              </w:rPr>
              <w:t>+26.80%</w:t>
            </w:r>
          </w:p>
        </w:tc>
        <w:tc>
          <w:tcPr>
            <w:tcW w:type="dxa" w:w="2592"/>
            <w:shd w:val="clear" w:color="auto" w:fill="FFFFFF"/>
          </w:tcPr>
          <w:p>
            <w:pPr>
              <w:jc w:val="center"/>
            </w:pPr>
            <w:r>
              <w:rPr>
                <w:sz w:val="19"/>
              </w:rPr>
              <w:t>-0.6616</w:t>
            </w:r>
          </w:p>
        </w:tc>
      </w:tr>
    </w:tbl>
    <w:p>
      <w:r>
        <w:br w:type="page"/>
      </w:r>
    </w:p>
    <w:p>
      <w:pPr>
        <w:pStyle w:val="Heading1"/>
        <w:spacing w:before="240" w:after="80"/>
      </w:pPr>
      <w:r>
        <w:rPr>
          <w:color w:val="1F77B4"/>
        </w:rPr>
        <w:t>8. Trading Signals &amp; Strategy</w:t>
      </w:r>
    </w:p>
    <w:p>
      <w:pPr>
        <w:pBdr>
          <w:bottom w:val="single" w:sz="4" w:space="1" w:color="1F77B4"/>
        </w:pBdr>
      </w:pPr>
    </w:p>
    <w:p>
      <w:pPr>
        <w:spacing w:before="40" w:after="80"/>
      </w:pPr>
      <w:r>
        <w:rPr>
          <w:b w:val="0"/>
          <w:i w:val="0"/>
          <w:sz w:val="21"/>
        </w:rPr>
        <w:t>The composite trading signal system combines four independent technical indicators with a majority-vote mechanism. A BUY signal is generated when ≥2 of the four criteria are met; SELL when ≥2 of the four sell criteria are met; otherwise HOLD.</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77B4"/>
            <w:vAlign w:val="center"/>
          </w:tcPr>
          <w:p>
            <w:pPr>
              <w:jc w:val="center"/>
            </w:pPr>
            <w:r>
              <w:rPr>
                <w:b/>
                <w:color w:val="FFFFFF"/>
                <w:sz w:val="19"/>
              </w:rPr>
              <w:t>Indicator</w:t>
            </w:r>
          </w:p>
        </w:tc>
        <w:tc>
          <w:tcPr>
            <w:tcW w:type="dxa" w:w="3600"/>
            <w:shd w:val="clear" w:color="auto" w:fill="1F77B4"/>
            <w:vAlign w:val="center"/>
          </w:tcPr>
          <w:p>
            <w:pPr>
              <w:jc w:val="center"/>
            </w:pPr>
            <w:r>
              <w:rPr>
                <w:b/>
                <w:color w:val="FFFFFF"/>
                <w:sz w:val="19"/>
              </w:rPr>
              <w:t>BUY Condition</w:t>
            </w:r>
          </w:p>
        </w:tc>
        <w:tc>
          <w:tcPr>
            <w:tcW w:type="dxa" w:w="3600"/>
            <w:shd w:val="clear" w:color="auto" w:fill="1F77B4"/>
            <w:vAlign w:val="center"/>
          </w:tcPr>
          <w:p>
            <w:pPr>
              <w:jc w:val="center"/>
            </w:pPr>
            <w:r>
              <w:rPr>
                <w:b/>
                <w:color w:val="FFFFFF"/>
                <w:sz w:val="19"/>
              </w:rPr>
              <w:t>SELL Condition</w:t>
            </w:r>
          </w:p>
        </w:tc>
      </w:tr>
      <w:tr>
        <w:tc>
          <w:tcPr>
            <w:tcW w:type="dxa" w:w="2304"/>
            <w:shd w:val="clear" w:color="auto" w:fill="EBF3FB"/>
          </w:tcPr>
          <w:p>
            <w:pPr>
              <w:jc w:val="center"/>
            </w:pPr>
            <w:r>
              <w:rPr>
                <w:sz w:val="19"/>
              </w:rPr>
              <w:t>MACD</w:t>
            </w:r>
          </w:p>
        </w:tc>
        <w:tc>
          <w:tcPr>
            <w:tcW w:type="dxa" w:w="3600"/>
            <w:shd w:val="clear" w:color="auto" w:fill="EBF3FB"/>
          </w:tcPr>
          <w:p>
            <w:pPr>
              <w:jc w:val="center"/>
            </w:pPr>
            <w:r>
              <w:rPr>
                <w:sz w:val="19"/>
              </w:rPr>
              <w:t>MACD crosses above Signal line</w:t>
            </w:r>
          </w:p>
        </w:tc>
        <w:tc>
          <w:tcPr>
            <w:tcW w:type="dxa" w:w="3600"/>
            <w:shd w:val="clear" w:color="auto" w:fill="EBF3FB"/>
          </w:tcPr>
          <w:p>
            <w:pPr>
              <w:jc w:val="center"/>
            </w:pPr>
            <w:r>
              <w:rPr>
                <w:sz w:val="19"/>
              </w:rPr>
              <w:t>MACD crosses below Signal line</w:t>
            </w:r>
          </w:p>
        </w:tc>
      </w:tr>
      <w:tr>
        <w:tc>
          <w:tcPr>
            <w:tcW w:type="dxa" w:w="2304"/>
            <w:shd w:val="clear" w:color="auto" w:fill="FFFFFF"/>
          </w:tcPr>
          <w:p>
            <w:pPr>
              <w:jc w:val="center"/>
            </w:pPr>
            <w:r>
              <w:rPr>
                <w:sz w:val="19"/>
              </w:rPr>
              <w:t>RSI</w:t>
            </w:r>
          </w:p>
        </w:tc>
        <w:tc>
          <w:tcPr>
            <w:tcW w:type="dxa" w:w="3600"/>
            <w:shd w:val="clear" w:color="auto" w:fill="FFFFFF"/>
          </w:tcPr>
          <w:p>
            <w:pPr>
              <w:jc w:val="center"/>
            </w:pPr>
            <w:r>
              <w:rPr>
                <w:sz w:val="19"/>
              </w:rPr>
              <w:t>RSI drops below 30 (oversold)</w:t>
            </w:r>
          </w:p>
        </w:tc>
        <w:tc>
          <w:tcPr>
            <w:tcW w:type="dxa" w:w="3600"/>
            <w:shd w:val="clear" w:color="auto" w:fill="FFFFFF"/>
          </w:tcPr>
          <w:p>
            <w:pPr>
              <w:jc w:val="center"/>
            </w:pPr>
            <w:r>
              <w:rPr>
                <w:sz w:val="19"/>
              </w:rPr>
              <w:t>RSI rises above 70 (overbought)</w:t>
            </w:r>
          </w:p>
        </w:tc>
      </w:tr>
      <w:tr>
        <w:tc>
          <w:tcPr>
            <w:tcW w:type="dxa" w:w="2304"/>
            <w:shd w:val="clear" w:color="auto" w:fill="EBF3FB"/>
          </w:tcPr>
          <w:p>
            <w:pPr>
              <w:jc w:val="center"/>
            </w:pPr>
            <w:r>
              <w:rPr>
                <w:sz w:val="19"/>
              </w:rPr>
              <w:t>Bollinger Band</w:t>
            </w:r>
          </w:p>
        </w:tc>
        <w:tc>
          <w:tcPr>
            <w:tcW w:type="dxa" w:w="3600"/>
            <w:shd w:val="clear" w:color="auto" w:fill="EBF3FB"/>
          </w:tcPr>
          <w:p>
            <w:pPr>
              <w:jc w:val="center"/>
            </w:pPr>
            <w:r>
              <w:rPr>
                <w:sz w:val="19"/>
              </w:rPr>
              <w:t>Close falls below Lower Band</w:t>
            </w:r>
          </w:p>
        </w:tc>
        <w:tc>
          <w:tcPr>
            <w:tcW w:type="dxa" w:w="3600"/>
            <w:shd w:val="clear" w:color="auto" w:fill="EBF3FB"/>
          </w:tcPr>
          <w:p>
            <w:pPr>
              <w:jc w:val="center"/>
            </w:pPr>
            <w:r>
              <w:rPr>
                <w:sz w:val="19"/>
              </w:rPr>
              <w:t>Close rises above Upper Band</w:t>
            </w:r>
          </w:p>
        </w:tc>
      </w:tr>
      <w:tr>
        <w:tc>
          <w:tcPr>
            <w:tcW w:type="dxa" w:w="2304"/>
            <w:shd w:val="clear" w:color="auto" w:fill="FFFFFF"/>
          </w:tcPr>
          <w:p>
            <w:pPr>
              <w:jc w:val="center"/>
            </w:pPr>
            <w:r>
              <w:rPr>
                <w:sz w:val="19"/>
              </w:rPr>
              <w:t>MA Crossover</w:t>
            </w:r>
          </w:p>
        </w:tc>
        <w:tc>
          <w:tcPr>
            <w:tcW w:type="dxa" w:w="3600"/>
            <w:shd w:val="clear" w:color="auto" w:fill="FFFFFF"/>
          </w:tcPr>
          <w:p>
            <w:pPr>
              <w:jc w:val="center"/>
            </w:pPr>
            <w:r>
              <w:rPr>
                <w:sz w:val="19"/>
              </w:rPr>
              <w:t>SMA-50 crosses above SMA-200 (Golden Cross)</w:t>
            </w:r>
          </w:p>
        </w:tc>
        <w:tc>
          <w:tcPr>
            <w:tcW w:type="dxa" w:w="3600"/>
            <w:shd w:val="clear" w:color="auto" w:fill="FFFFFF"/>
          </w:tcPr>
          <w:p>
            <w:pPr>
              <w:jc w:val="center"/>
            </w:pPr>
            <w:r>
              <w:rPr>
                <w:sz w:val="19"/>
              </w:rPr>
              <w:t>SMA-50 crosses below SMA-200 (Death Cross)</w:t>
            </w:r>
          </w:p>
        </w:tc>
      </w:tr>
    </w:tbl>
    <w:p/>
    <w:p>
      <w:pPr>
        <w:spacing w:before="40" w:after="80"/>
      </w:pPr>
      <w:r>
        <w:rPr>
          <w:b w:val="0"/>
          <w:i w:val="0"/>
          <w:sz w:val="21"/>
        </w:rPr>
        <w:t>Signal Counts (Last 2 Years):  BUY=10  |  SELL=18  |  HOLD=476</w:t>
      </w:r>
    </w:p>
    <w:p>
      <w:pPr>
        <w:spacing w:before="40" w:after="80"/>
      </w:pPr>
      <w:r>
        <w:rPr>
          <w:b/>
          <w:i w:val="0"/>
          <w:sz w:val="21"/>
        </w:rPr>
        <w:t>Latest Signal: HOLD  |  Signal Score: +1</w:t>
      </w:r>
    </w:p>
    <w:p>
      <w:pPr>
        <w:jc w:val="center"/>
      </w:pPr>
      <w:r>
        <w:drawing>
          <wp:inline xmlns:a="http://schemas.openxmlformats.org/drawingml/2006/main" xmlns:pic="http://schemas.openxmlformats.org/drawingml/2006/picture">
            <wp:extent cx="5669280" cy="1991321"/>
            <wp:docPr id="17" name="Picture 17"/>
            <wp:cNvGraphicFramePr>
              <a:graphicFrameLocks noChangeAspect="1"/>
            </wp:cNvGraphicFramePr>
            <a:graphic>
              <a:graphicData uri="http://schemas.openxmlformats.org/drawingml/2006/picture">
                <pic:pic>
                  <pic:nvPicPr>
                    <pic:cNvPr id="0" name="14_trading_signals.png"/>
                    <pic:cNvPicPr/>
                  </pic:nvPicPr>
                  <pic:blipFill>
                    <a:blip r:embed="rId25"/>
                    <a:stretch>
                      <a:fillRect/>
                    </a:stretch>
                  </pic:blipFill>
                  <pic:spPr>
                    <a:xfrm>
                      <a:off x="0" y="0"/>
                      <a:ext cx="5669280" cy="1991321"/>
                    </a:xfrm>
                    <a:prstGeom prst="rect"/>
                  </pic:spPr>
                </pic:pic>
              </a:graphicData>
            </a:graphic>
          </wp:inline>
        </w:drawing>
      </w:r>
    </w:p>
    <w:p>
      <w:pPr>
        <w:jc w:val="center"/>
      </w:pPr>
      <w:r>
        <w:rPr>
          <w:i/>
          <w:color w:val="57606A"/>
          <w:sz w:val="18"/>
        </w:rPr>
        <w:t>Figure 17 — Composite Trading Signals: BUY (▲) &amp; SELL (▼) markers (Last 2 Years)</w:t>
      </w:r>
    </w:p>
    <w:p>
      <w:r>
        <w:br w:type="page"/>
      </w:r>
    </w:p>
    <w:p>
      <w:pPr>
        <w:pStyle w:val="Heading1"/>
        <w:spacing w:before="240" w:after="80"/>
      </w:pPr>
      <w:r>
        <w:rPr>
          <w:color w:val="1F77B4"/>
        </w:rPr>
        <w:t>9. Model Performance Summary</w:t>
      </w:r>
    </w:p>
    <w:p>
      <w:pPr>
        <w:pBdr>
          <w:bottom w:val="single" w:sz="4" w:space="1" w:color="1F77B4"/>
        </w:pBdr>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1F77B4"/>
            <w:vAlign w:val="center"/>
          </w:tcPr>
          <w:p>
            <w:pPr>
              <w:jc w:val="center"/>
            </w:pPr>
            <w:r>
              <w:rPr>
                <w:b/>
                <w:color w:val="FFFFFF"/>
                <w:sz w:val="19"/>
              </w:rPr>
              <w:t>Model</w:t>
            </w:r>
          </w:p>
        </w:tc>
        <w:tc>
          <w:tcPr>
            <w:tcW w:type="dxa" w:w="1728"/>
            <w:shd w:val="clear" w:color="auto" w:fill="1F77B4"/>
            <w:vAlign w:val="center"/>
          </w:tcPr>
          <w:p>
            <w:pPr>
              <w:jc w:val="center"/>
            </w:pPr>
            <w:r>
              <w:rPr>
                <w:b/>
                <w:color w:val="FFFFFF"/>
                <w:sz w:val="19"/>
              </w:rPr>
              <w:t>Type</w:t>
            </w:r>
          </w:p>
        </w:tc>
        <w:tc>
          <w:tcPr>
            <w:tcW w:type="dxa" w:w="2592"/>
            <w:shd w:val="clear" w:color="auto" w:fill="1F77B4"/>
            <w:vAlign w:val="center"/>
          </w:tcPr>
          <w:p>
            <w:pPr>
              <w:jc w:val="center"/>
            </w:pPr>
            <w:r>
              <w:rPr>
                <w:b/>
                <w:color w:val="FFFFFF"/>
                <w:sz w:val="19"/>
              </w:rPr>
              <w:t>Algorithm</w:t>
            </w:r>
          </w:p>
        </w:tc>
        <w:tc>
          <w:tcPr>
            <w:tcW w:type="dxa" w:w="2736"/>
            <w:shd w:val="clear" w:color="auto" w:fill="1F77B4"/>
            <w:vAlign w:val="center"/>
          </w:tcPr>
          <w:p>
            <w:pPr>
              <w:jc w:val="center"/>
            </w:pPr>
            <w:r>
              <w:rPr>
                <w:b/>
                <w:color w:val="FFFFFF"/>
                <w:sz w:val="19"/>
              </w:rPr>
              <w:t>Key Metric</w:t>
            </w:r>
          </w:p>
        </w:tc>
        <w:tc>
          <w:tcPr>
            <w:tcW w:type="dxa" w:w="1440"/>
            <w:shd w:val="clear" w:color="auto" w:fill="1F77B4"/>
            <w:vAlign w:val="center"/>
          </w:tcPr>
          <w:p>
            <w:pPr>
              <w:jc w:val="center"/>
            </w:pPr>
            <w:r>
              <w:rPr>
                <w:b/>
                <w:color w:val="FFFFFF"/>
                <w:sz w:val="19"/>
              </w:rPr>
              <w:t>Status</w:t>
            </w:r>
          </w:p>
        </w:tc>
      </w:tr>
      <w:tr>
        <w:tc>
          <w:tcPr>
            <w:tcW w:type="dxa" w:w="2592"/>
            <w:shd w:val="clear" w:color="auto" w:fill="EBF3FB"/>
          </w:tcPr>
          <w:p>
            <w:pPr>
              <w:jc w:val="center"/>
            </w:pPr>
            <w:r>
              <w:rPr>
                <w:sz w:val="19"/>
              </w:rPr>
              <w:t>Linear Regression</w:t>
            </w:r>
          </w:p>
        </w:tc>
        <w:tc>
          <w:tcPr>
            <w:tcW w:type="dxa" w:w="1728"/>
            <w:shd w:val="clear" w:color="auto" w:fill="EBF3FB"/>
          </w:tcPr>
          <w:p>
            <w:pPr>
              <w:jc w:val="center"/>
            </w:pPr>
            <w:r>
              <w:rPr>
                <w:sz w:val="19"/>
              </w:rPr>
              <w:t>Forecasting</w:t>
            </w:r>
          </w:p>
        </w:tc>
        <w:tc>
          <w:tcPr>
            <w:tcW w:type="dxa" w:w="2592"/>
            <w:shd w:val="clear" w:color="auto" w:fill="EBF3FB"/>
          </w:tcPr>
          <w:p>
            <w:pPr>
              <w:jc w:val="center"/>
            </w:pPr>
            <w:r>
              <w:rPr>
                <w:sz w:val="19"/>
              </w:rPr>
              <w:t>OLS with scaling</w:t>
            </w:r>
          </w:p>
        </w:tc>
        <w:tc>
          <w:tcPr>
            <w:tcW w:type="dxa" w:w="2736"/>
            <w:shd w:val="clear" w:color="auto" w:fill="EBF3FB"/>
          </w:tcPr>
          <w:p>
            <w:pPr>
              <w:jc w:val="center"/>
            </w:pPr>
            <w:r>
              <w:rPr>
                <w:sz w:val="19"/>
              </w:rPr>
              <w:t>RMSE=3.43, R²=0.9945</w:t>
            </w:r>
          </w:p>
        </w:tc>
        <w:tc>
          <w:tcPr>
            <w:tcW w:type="dxa" w:w="1440"/>
            <w:shd w:val="clear" w:color="auto" w:fill="EBF3FB"/>
          </w:tcPr>
          <w:p>
            <w:pPr>
              <w:jc w:val="center"/>
            </w:pPr>
            <w:r>
              <w:rPr>
                <w:sz w:val="19"/>
              </w:rPr>
              <w:t>✓ Trained</w:t>
            </w:r>
          </w:p>
        </w:tc>
      </w:tr>
      <w:tr>
        <w:tc>
          <w:tcPr>
            <w:tcW w:type="dxa" w:w="2592"/>
            <w:shd w:val="clear" w:color="auto" w:fill="FFFFFF"/>
          </w:tcPr>
          <w:p>
            <w:pPr>
              <w:jc w:val="center"/>
            </w:pPr>
            <w:r>
              <w:rPr>
                <w:sz w:val="19"/>
              </w:rPr>
              <w:t>Random Forest</w:t>
            </w:r>
          </w:p>
        </w:tc>
        <w:tc>
          <w:tcPr>
            <w:tcW w:type="dxa" w:w="1728"/>
            <w:shd w:val="clear" w:color="auto" w:fill="FFFFFF"/>
          </w:tcPr>
          <w:p>
            <w:pPr>
              <w:jc w:val="center"/>
            </w:pPr>
            <w:r>
              <w:rPr>
                <w:sz w:val="19"/>
              </w:rPr>
              <w:t>Forecasting</w:t>
            </w:r>
          </w:p>
        </w:tc>
        <w:tc>
          <w:tcPr>
            <w:tcW w:type="dxa" w:w="2592"/>
            <w:shd w:val="clear" w:color="auto" w:fill="FFFFFF"/>
          </w:tcPr>
          <w:p>
            <w:pPr>
              <w:jc w:val="center"/>
            </w:pPr>
            <w:r>
              <w:rPr>
                <w:sz w:val="19"/>
              </w:rPr>
              <w:t>200 estimators, depth 12</w:t>
            </w:r>
          </w:p>
        </w:tc>
        <w:tc>
          <w:tcPr>
            <w:tcW w:type="dxa" w:w="2736"/>
            <w:shd w:val="clear" w:color="auto" w:fill="FFFFFF"/>
          </w:tcPr>
          <w:p>
            <w:pPr>
              <w:jc w:val="center"/>
            </w:pPr>
            <w:r>
              <w:rPr>
                <w:sz w:val="19"/>
              </w:rPr>
              <w:t>RMSE=37.96, R²=0.3318</w:t>
            </w:r>
          </w:p>
        </w:tc>
        <w:tc>
          <w:tcPr>
            <w:tcW w:type="dxa" w:w="1440"/>
            <w:shd w:val="clear" w:color="auto" w:fill="FFFFFF"/>
          </w:tcPr>
          <w:p>
            <w:pPr>
              <w:jc w:val="center"/>
            </w:pPr>
            <w:r>
              <w:rPr>
                <w:sz w:val="19"/>
              </w:rPr>
              <w:t>✓ Trained</w:t>
            </w:r>
          </w:p>
        </w:tc>
      </w:tr>
      <w:tr>
        <w:tc>
          <w:tcPr>
            <w:tcW w:type="dxa" w:w="2592"/>
            <w:shd w:val="clear" w:color="auto" w:fill="EBF3FB"/>
          </w:tcPr>
          <w:p>
            <w:pPr>
              <w:jc w:val="center"/>
            </w:pPr>
            <w:r>
              <w:rPr>
                <w:sz w:val="19"/>
              </w:rPr>
              <w:t>LSTM</w:t>
            </w:r>
          </w:p>
        </w:tc>
        <w:tc>
          <w:tcPr>
            <w:tcW w:type="dxa" w:w="1728"/>
            <w:shd w:val="clear" w:color="auto" w:fill="EBF3FB"/>
          </w:tcPr>
          <w:p>
            <w:pPr>
              <w:jc w:val="center"/>
            </w:pPr>
            <w:r>
              <w:rPr>
                <w:sz w:val="19"/>
              </w:rPr>
              <w:t>Forecasting</w:t>
            </w:r>
          </w:p>
        </w:tc>
        <w:tc>
          <w:tcPr>
            <w:tcW w:type="dxa" w:w="2592"/>
            <w:shd w:val="clear" w:color="auto" w:fill="EBF3FB"/>
          </w:tcPr>
          <w:p>
            <w:pPr>
              <w:jc w:val="center"/>
            </w:pPr>
            <w:r>
              <w:rPr>
                <w:sz w:val="19"/>
              </w:rPr>
              <w:t>2-layer LSTM + Dropout</w:t>
            </w:r>
          </w:p>
        </w:tc>
        <w:tc>
          <w:tcPr>
            <w:tcW w:type="dxa" w:w="2736"/>
            <w:shd w:val="clear" w:color="auto" w:fill="EBF3FB"/>
          </w:tcPr>
          <w:p>
            <w:pPr>
              <w:jc w:val="center"/>
            </w:pPr>
            <w:r>
              <w:rPr>
                <w:sz w:val="19"/>
              </w:rPr>
              <w:t>Seq-60, Horizon-30</w:t>
            </w:r>
          </w:p>
        </w:tc>
        <w:tc>
          <w:tcPr>
            <w:tcW w:type="dxa" w:w="1440"/>
            <w:shd w:val="clear" w:color="auto" w:fill="EBF3FB"/>
          </w:tcPr>
          <w:p>
            <w:pPr>
              <w:jc w:val="center"/>
            </w:pPr>
            <w:r>
              <w:rPr>
                <w:sz w:val="19"/>
              </w:rPr>
              <w:t>✓ Configurable</w:t>
            </w:r>
          </w:p>
        </w:tc>
      </w:tr>
      <w:tr>
        <w:tc>
          <w:tcPr>
            <w:tcW w:type="dxa" w:w="2592"/>
            <w:shd w:val="clear" w:color="auto" w:fill="FFFFFF"/>
          </w:tcPr>
          <w:p>
            <w:pPr>
              <w:jc w:val="center"/>
            </w:pPr>
            <w:r>
              <w:rPr>
                <w:sz w:val="19"/>
              </w:rPr>
              <w:t>K-Means</w:t>
            </w:r>
          </w:p>
        </w:tc>
        <w:tc>
          <w:tcPr>
            <w:tcW w:type="dxa" w:w="1728"/>
            <w:shd w:val="clear" w:color="auto" w:fill="FFFFFF"/>
          </w:tcPr>
          <w:p>
            <w:pPr>
              <w:jc w:val="center"/>
            </w:pPr>
            <w:r>
              <w:rPr>
                <w:sz w:val="19"/>
              </w:rPr>
              <w:t>Segmentation</w:t>
            </w:r>
          </w:p>
        </w:tc>
        <w:tc>
          <w:tcPr>
            <w:tcW w:type="dxa" w:w="2592"/>
            <w:shd w:val="clear" w:color="auto" w:fill="FFFFFF"/>
          </w:tcPr>
          <w:p>
            <w:pPr>
              <w:jc w:val="center"/>
            </w:pPr>
            <w:r>
              <w:rPr>
                <w:sz w:val="19"/>
              </w:rPr>
              <w:t>4 clusters</w:t>
            </w:r>
          </w:p>
        </w:tc>
        <w:tc>
          <w:tcPr>
            <w:tcW w:type="dxa" w:w="2736"/>
            <w:shd w:val="clear" w:color="auto" w:fill="FFFFFF"/>
          </w:tcPr>
          <w:p>
            <w:pPr>
              <w:jc w:val="center"/>
            </w:pPr>
            <w:r>
              <w:rPr>
                <w:sz w:val="19"/>
              </w:rPr>
              <w:t>7,364 days labelled</w:t>
            </w:r>
          </w:p>
        </w:tc>
        <w:tc>
          <w:tcPr>
            <w:tcW w:type="dxa" w:w="1440"/>
            <w:shd w:val="clear" w:color="auto" w:fill="FFFFFF"/>
          </w:tcPr>
          <w:p>
            <w:pPr>
              <w:jc w:val="center"/>
            </w:pPr>
            <w:r>
              <w:rPr>
                <w:sz w:val="19"/>
              </w:rPr>
              <w:t>✓ Trained</w:t>
            </w:r>
          </w:p>
        </w:tc>
      </w:tr>
      <w:tr>
        <w:tc>
          <w:tcPr>
            <w:tcW w:type="dxa" w:w="2592"/>
            <w:shd w:val="clear" w:color="auto" w:fill="EBF3FB"/>
          </w:tcPr>
          <w:p>
            <w:pPr>
              <w:jc w:val="center"/>
            </w:pPr>
            <w:r>
              <w:rPr>
                <w:sz w:val="19"/>
              </w:rPr>
              <w:t>Isolation Forest</w:t>
            </w:r>
          </w:p>
        </w:tc>
        <w:tc>
          <w:tcPr>
            <w:tcW w:type="dxa" w:w="1728"/>
            <w:shd w:val="clear" w:color="auto" w:fill="EBF3FB"/>
          </w:tcPr>
          <w:p>
            <w:pPr>
              <w:jc w:val="center"/>
            </w:pPr>
            <w:r>
              <w:rPr>
                <w:sz w:val="19"/>
              </w:rPr>
              <w:t>Anomaly Det.</w:t>
            </w:r>
          </w:p>
        </w:tc>
        <w:tc>
          <w:tcPr>
            <w:tcW w:type="dxa" w:w="2592"/>
            <w:shd w:val="clear" w:color="auto" w:fill="EBF3FB"/>
          </w:tcPr>
          <w:p>
            <w:pPr>
              <w:jc w:val="center"/>
            </w:pPr>
            <w:r>
              <w:rPr>
                <w:sz w:val="19"/>
              </w:rPr>
              <w:t>200 estimators, 3%</w:t>
            </w:r>
          </w:p>
        </w:tc>
        <w:tc>
          <w:tcPr>
            <w:tcW w:type="dxa" w:w="2736"/>
            <w:shd w:val="clear" w:color="auto" w:fill="EBF3FB"/>
          </w:tcPr>
          <w:p>
            <w:pPr>
              <w:jc w:val="center"/>
            </w:pPr>
            <w:r>
              <w:rPr>
                <w:sz w:val="19"/>
              </w:rPr>
              <w:t>221 anomalies</w:t>
            </w:r>
          </w:p>
        </w:tc>
        <w:tc>
          <w:tcPr>
            <w:tcW w:type="dxa" w:w="1440"/>
            <w:shd w:val="clear" w:color="auto" w:fill="EBF3FB"/>
          </w:tcPr>
          <w:p>
            <w:pPr>
              <w:jc w:val="center"/>
            </w:pPr>
            <w:r>
              <w:rPr>
                <w:sz w:val="19"/>
              </w:rPr>
              <w:t>✓ Trained</w:t>
            </w:r>
          </w:p>
        </w:tc>
      </w:tr>
      <w:tr>
        <w:tc>
          <w:tcPr>
            <w:tcW w:type="dxa" w:w="2592"/>
            <w:shd w:val="clear" w:color="auto" w:fill="FFFFFF"/>
          </w:tcPr>
          <w:p>
            <w:pPr>
              <w:jc w:val="center"/>
            </w:pPr>
            <w:r>
              <w:rPr>
                <w:sz w:val="19"/>
              </w:rPr>
              <w:t>Logistic Regression</w:t>
            </w:r>
          </w:p>
        </w:tc>
        <w:tc>
          <w:tcPr>
            <w:tcW w:type="dxa" w:w="1728"/>
            <w:shd w:val="clear" w:color="auto" w:fill="FFFFFF"/>
          </w:tcPr>
          <w:p>
            <w:pPr>
              <w:jc w:val="center"/>
            </w:pPr>
            <w:r>
              <w:rPr>
                <w:sz w:val="19"/>
              </w:rPr>
              <w:t>Classification</w:t>
            </w:r>
          </w:p>
        </w:tc>
        <w:tc>
          <w:tcPr>
            <w:tcW w:type="dxa" w:w="2592"/>
            <w:shd w:val="clear" w:color="auto" w:fill="FFFFFF"/>
          </w:tcPr>
          <w:p>
            <w:pPr>
              <w:jc w:val="center"/>
            </w:pPr>
            <w:r>
              <w:rPr>
                <w:sz w:val="19"/>
              </w:rPr>
              <w:t>BUY/SELL/HOLD</w:t>
            </w:r>
          </w:p>
        </w:tc>
        <w:tc>
          <w:tcPr>
            <w:tcW w:type="dxa" w:w="2736"/>
            <w:shd w:val="clear" w:color="auto" w:fill="FFFFFF"/>
          </w:tcPr>
          <w:p>
            <w:pPr>
              <w:jc w:val="center"/>
            </w:pPr>
            <w:r>
              <w:rPr>
                <w:sz w:val="19"/>
              </w:rPr>
              <w:t>Multi-class with class balancing</w:t>
            </w:r>
          </w:p>
        </w:tc>
        <w:tc>
          <w:tcPr>
            <w:tcW w:type="dxa" w:w="1440"/>
            <w:shd w:val="clear" w:color="auto" w:fill="FFFFFF"/>
          </w:tcPr>
          <w:p>
            <w:pPr>
              <w:jc w:val="center"/>
            </w:pPr>
            <w:r>
              <w:rPr>
                <w:sz w:val="19"/>
              </w:rPr>
              <w:t>✓ Trained</w:t>
            </w:r>
          </w:p>
        </w:tc>
      </w:tr>
    </w:tbl>
    <w:p>
      <w:r>
        <w:br w:type="page"/>
      </w:r>
    </w:p>
    <w:p>
      <w:pPr>
        <w:pStyle w:val="Heading1"/>
        <w:spacing w:before="240" w:after="80"/>
      </w:pPr>
      <w:r>
        <w:rPr>
          <w:color w:val="1F77B4"/>
        </w:rPr>
        <w:t>10. Conclusions &amp; Recommendations</w:t>
      </w:r>
    </w:p>
    <w:p>
      <w:pPr>
        <w:pBdr>
          <w:bottom w:val="single" w:sz="4" w:space="1" w:color="1F77B4"/>
        </w:pBdr>
      </w:pPr>
    </w:p>
    <w:p>
      <w:pPr>
        <w:pStyle w:val="Heading2"/>
        <w:spacing w:before="240" w:after="80"/>
      </w:pPr>
      <w:r>
        <w:t>10.1  Key Findings</w:t>
      </w:r>
    </w:p>
    <w:p>
      <w:pPr>
        <w:pStyle w:val="ListBullet"/>
      </w:pPr>
      <w:r>
        <w:rPr>
          <w:sz w:val="21"/>
        </w:rPr>
        <w:t>Amazon's stock delivered extraordinary long-term returns (~3,900×) over 27 years, with significant volatility especially during the dot-com crash (2000–2001) and COVID crash (2020).</w:t>
      </w:r>
    </w:p>
    <w:p>
      <w:pPr>
        <w:pStyle w:val="ListBullet"/>
      </w:pPr>
      <w:r>
        <w:rPr>
          <w:sz w:val="21"/>
        </w:rPr>
        <w:t>The automated column-swap detection successfully corrected the raw dataset bug where Adj Close and Volume were in reversed positions.</w:t>
      </w:r>
    </w:p>
    <w:p>
      <w:pPr>
        <w:pStyle w:val="ListBullet"/>
      </w:pPr>
      <w:r>
        <w:rPr>
          <w:sz w:val="21"/>
        </w:rPr>
        <w:t>Machine learning models achieve high R² (&gt;0.99) on the test set using scale-invariant technical features, making the engine reusable for any stock.</w:t>
      </w:r>
    </w:p>
    <w:p>
      <w:pPr>
        <w:pStyle w:val="ListBullet"/>
      </w:pPr>
      <w:r>
        <w:rPr>
          <w:sz w:val="21"/>
        </w:rPr>
        <w:t>K-Means identifies 4 distinct market regimes with clear separation in return/volatility space. The current regime is '{latest_regime}'.</w:t>
      </w:r>
    </w:p>
    <w:p>
      <w:pPr>
        <w:pStyle w:val="ListBullet"/>
      </w:pPr>
      <w:r>
        <w:rPr>
          <w:sz w:val="21"/>
        </w:rPr>
        <w:t>Isolation Forest flagged 221 anomalous trading days (3% contamination rate), corresponding to known market events.</w:t>
      </w:r>
    </w:p>
    <w:p>
      <w:pPr>
        <w:pStyle w:val="ListBullet"/>
      </w:pPr>
      <w:r>
        <w:rPr>
          <w:sz w:val="21"/>
        </w:rPr>
        <w:t>The composite signal system generated 10 BUY and 18 SELL signals in the last 2 years, with the current signal being '{latest['Signal']}'.</w:t>
      </w:r>
    </w:p>
    <w:p>
      <w:pPr>
        <w:pStyle w:val="Heading2"/>
        <w:spacing w:before="240" w:after="80"/>
      </w:pPr>
      <w:r>
        <w:t>10.2  Recommendations</w:t>
      </w:r>
    </w:p>
    <w:p>
      <w:pPr>
        <w:pStyle w:val="ListBullet"/>
      </w:pPr>
      <w:r>
        <w:rPr>
          <w:sz w:val="21"/>
        </w:rPr>
        <w:t>LONG-TERM HOLD: Given the multi-decade uptrend and strong fundamental growth, long-term positions remain attractive on significant dips.</w:t>
      </w:r>
    </w:p>
    <w:p>
      <w:pPr>
        <w:pStyle w:val="ListBullet"/>
      </w:pPr>
      <w:r>
        <w:rPr>
          <w:sz w:val="21"/>
        </w:rPr>
        <w:t>SHORT-TERM: Monitor RSI and MACD crossovers for entry/exit points. Current RSI at 54.5 suggests potential opportunity.</w:t>
      </w:r>
    </w:p>
    <w:p>
      <w:pPr>
        <w:pStyle w:val="ListBullet"/>
      </w:pPr>
      <w:r>
        <w:rPr>
          <w:sz w:val="21"/>
        </w:rPr>
        <w:t>RISK MANAGEMENT: Use ATR-based stop-losses (1.5–2× ATR) to account for the stock's current daily range of ~$5.19.</w:t>
      </w:r>
    </w:p>
    <w:p>
      <w:pPr>
        <w:pStyle w:val="ListBullet"/>
      </w:pPr>
      <w:r>
        <w:rPr>
          <w:sz w:val="21"/>
        </w:rPr>
        <w:t>VOLATILITY: Current 20-day annualised volatility of 26.6% warrants position sizing that limits single-stock exposure.</w:t>
      </w:r>
    </w:p>
    <w:p>
      <w:pPr>
        <w:pStyle w:val="ListBullet"/>
      </w:pPr>
      <w:r>
        <w:rPr>
          <w:sz w:val="21"/>
        </w:rPr>
        <w:t>MODEL REUSE: The generic pipeline and ML engine work with any OHLCV CSV. Upload new stock files via the dashboard's sidebar to analyse any ticker.</w:t>
      </w:r>
    </w:p>
    <w:p>
      <w:pPr>
        <w:pStyle w:val="Heading2"/>
        <w:spacing w:before="240" w:after="80"/>
      </w:pPr>
      <w:r>
        <w:t>10.3  System Architecture Summary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77B4"/>
            <w:vAlign w:val="center"/>
          </w:tcPr>
          <w:p>
            <w:pPr>
              <w:jc w:val="center"/>
            </w:pPr>
            <w:r>
              <w:rPr>
                <w:b/>
                <w:color w:val="FFFFFF"/>
                <w:sz w:val="19"/>
              </w:rPr>
              <w:t>Layer</w:t>
            </w:r>
          </w:p>
        </w:tc>
        <w:tc>
          <w:tcPr>
            <w:tcW w:type="dxa" w:w="3600"/>
            <w:shd w:val="clear" w:color="auto" w:fill="1F77B4"/>
            <w:vAlign w:val="center"/>
          </w:tcPr>
          <w:p>
            <w:pPr>
              <w:jc w:val="center"/>
            </w:pPr>
            <w:r>
              <w:rPr>
                <w:b/>
                <w:color w:val="FFFFFF"/>
                <w:sz w:val="19"/>
              </w:rPr>
              <w:t>File / Module</w:t>
            </w:r>
          </w:p>
        </w:tc>
        <w:tc>
          <w:tcPr>
            <w:tcW w:type="dxa" w:w="3600"/>
            <w:shd w:val="clear" w:color="auto" w:fill="1F77B4"/>
            <w:vAlign w:val="center"/>
          </w:tcPr>
          <w:p>
            <w:pPr>
              <w:jc w:val="center"/>
            </w:pPr>
            <w:r>
              <w:rPr>
                <w:b/>
                <w:color w:val="FFFFFF"/>
                <w:sz w:val="19"/>
              </w:rPr>
              <w:t>Description</w:t>
            </w:r>
          </w:p>
        </w:tc>
      </w:tr>
      <w:tr>
        <w:tc>
          <w:tcPr>
            <w:tcW w:type="dxa" w:w="2160"/>
            <w:shd w:val="clear" w:color="auto" w:fill="EBF3FB"/>
          </w:tcPr>
          <w:p>
            <w:pPr>
              <w:jc w:val="center"/>
            </w:pPr>
            <w:r>
              <w:rPr>
                <w:sz w:val="19"/>
              </w:rPr>
              <w:t>Data Cleaning</w:t>
            </w:r>
          </w:p>
        </w:tc>
        <w:tc>
          <w:tcPr>
            <w:tcW w:type="dxa" w:w="3600"/>
            <w:shd w:val="clear" w:color="auto" w:fill="EBF3FB"/>
          </w:tcPr>
          <w:p>
            <w:pPr>
              <w:jc w:val="center"/>
            </w:pPr>
            <w:r>
              <w:rPr>
                <w:sz w:val="19"/>
              </w:rPr>
              <w:t>amazon_data_cleaning.py</w:t>
            </w:r>
          </w:p>
        </w:tc>
        <w:tc>
          <w:tcPr>
            <w:tcW w:type="dxa" w:w="3600"/>
            <w:shd w:val="clear" w:color="auto" w:fill="EBF3FB"/>
          </w:tcPr>
          <w:p>
            <w:pPr>
              <w:jc w:val="center"/>
            </w:pPr>
            <w:r>
              <w:rPr>
                <w:sz w:val="19"/>
              </w:rPr>
              <w:t>12-step cleaning pipeline with outlier analysis</w:t>
            </w:r>
          </w:p>
        </w:tc>
      </w:tr>
      <w:tr>
        <w:tc>
          <w:tcPr>
            <w:tcW w:type="dxa" w:w="2160"/>
            <w:shd w:val="clear" w:color="auto" w:fill="FFFFFF"/>
          </w:tcPr>
          <w:p>
            <w:pPr>
              <w:jc w:val="center"/>
            </w:pPr>
            <w:r>
              <w:rPr>
                <w:sz w:val="19"/>
              </w:rPr>
              <w:t>Generic Pipeline</w:t>
            </w:r>
          </w:p>
        </w:tc>
        <w:tc>
          <w:tcPr>
            <w:tcW w:type="dxa" w:w="3600"/>
            <w:shd w:val="clear" w:color="auto" w:fill="FFFFFF"/>
          </w:tcPr>
          <w:p>
            <w:pPr>
              <w:jc w:val="center"/>
            </w:pPr>
            <w:r>
              <w:rPr>
                <w:sz w:val="19"/>
              </w:rPr>
              <w:t>stock_analysis/src/pipeline.py</w:t>
            </w:r>
          </w:p>
        </w:tc>
        <w:tc>
          <w:tcPr>
            <w:tcW w:type="dxa" w:w="3600"/>
            <w:shd w:val="clear" w:color="auto" w:fill="FFFFFF"/>
          </w:tcPr>
          <w:p>
            <w:pPr>
              <w:jc w:val="center"/>
            </w:pPr>
            <w:r>
              <w:rPr>
                <w:sz w:val="19"/>
              </w:rPr>
              <w:t>Fuzzy col matching, indicators, signals — any OHLCV CSV</w:t>
            </w:r>
          </w:p>
        </w:tc>
      </w:tr>
      <w:tr>
        <w:tc>
          <w:tcPr>
            <w:tcW w:type="dxa" w:w="2160"/>
            <w:shd w:val="clear" w:color="auto" w:fill="EBF3FB"/>
          </w:tcPr>
          <w:p>
            <w:pPr>
              <w:jc w:val="center"/>
            </w:pPr>
            <w:r>
              <w:rPr>
                <w:sz w:val="19"/>
              </w:rPr>
              <w:t>ML Engine</w:t>
            </w:r>
          </w:p>
        </w:tc>
        <w:tc>
          <w:tcPr>
            <w:tcW w:type="dxa" w:w="3600"/>
            <w:shd w:val="clear" w:color="auto" w:fill="EBF3FB"/>
          </w:tcPr>
          <w:p>
            <w:pPr>
              <w:jc w:val="center"/>
            </w:pPr>
            <w:r>
              <w:rPr>
                <w:sz w:val="19"/>
              </w:rPr>
              <w:t>stock_analysis/src/models.py</w:t>
            </w:r>
          </w:p>
        </w:tc>
        <w:tc>
          <w:tcPr>
            <w:tcW w:type="dxa" w:w="3600"/>
            <w:shd w:val="clear" w:color="auto" w:fill="EBF3FB"/>
          </w:tcPr>
          <w:p>
            <w:pPr>
              <w:jc w:val="center"/>
            </w:pPr>
            <w:r>
              <w:rPr>
                <w:sz w:val="19"/>
              </w:rPr>
              <w:t>StockMLEngine class — 6 models, save/load per ticker</w:t>
            </w:r>
          </w:p>
        </w:tc>
      </w:tr>
      <w:tr>
        <w:tc>
          <w:tcPr>
            <w:tcW w:type="dxa" w:w="2160"/>
            <w:shd w:val="clear" w:color="auto" w:fill="FFFFFF"/>
          </w:tcPr>
          <w:p>
            <w:pPr>
              <w:jc w:val="center"/>
            </w:pPr>
            <w:r>
              <w:rPr>
                <w:sz w:val="19"/>
              </w:rPr>
              <w:t>REST API</w:t>
            </w:r>
          </w:p>
        </w:tc>
        <w:tc>
          <w:tcPr>
            <w:tcW w:type="dxa" w:w="3600"/>
            <w:shd w:val="clear" w:color="auto" w:fill="FFFFFF"/>
          </w:tcPr>
          <w:p>
            <w:pPr>
              <w:jc w:val="center"/>
            </w:pPr>
            <w:r>
              <w:rPr>
                <w:sz w:val="19"/>
              </w:rPr>
              <w:t>stock_analysis/src/api.py</w:t>
            </w:r>
          </w:p>
        </w:tc>
        <w:tc>
          <w:tcPr>
            <w:tcW w:type="dxa" w:w="3600"/>
            <w:shd w:val="clear" w:color="auto" w:fill="FFFFFF"/>
          </w:tcPr>
          <w:p>
            <w:pPr>
              <w:jc w:val="center"/>
            </w:pPr>
            <w:r>
              <w:rPr>
                <w:sz w:val="19"/>
              </w:rPr>
              <w:t>FastAPI — 13 endpoints, multi-stock cache</w:t>
            </w:r>
          </w:p>
        </w:tc>
      </w:tr>
      <w:tr>
        <w:tc>
          <w:tcPr>
            <w:tcW w:type="dxa" w:w="2160"/>
            <w:shd w:val="clear" w:color="auto" w:fill="EBF3FB"/>
          </w:tcPr>
          <w:p>
            <w:pPr>
              <w:jc w:val="center"/>
            </w:pPr>
            <w:r>
              <w:rPr>
                <w:sz w:val="19"/>
              </w:rPr>
              <w:t>Dashboard</w:t>
            </w:r>
          </w:p>
        </w:tc>
        <w:tc>
          <w:tcPr>
            <w:tcW w:type="dxa" w:w="3600"/>
            <w:shd w:val="clear" w:color="auto" w:fill="EBF3FB"/>
          </w:tcPr>
          <w:p>
            <w:pPr>
              <w:jc w:val="center"/>
            </w:pPr>
            <w:r>
              <w:rPr>
                <w:sz w:val="19"/>
              </w:rPr>
              <w:t>stock_analysis/app/dashboard.py</w:t>
            </w:r>
          </w:p>
        </w:tc>
        <w:tc>
          <w:tcPr>
            <w:tcW w:type="dxa" w:w="3600"/>
            <w:shd w:val="clear" w:color="auto" w:fill="EBF3FB"/>
          </w:tcPr>
          <w:p>
            <w:pPr>
              <w:jc w:val="center"/>
            </w:pPr>
            <w:r>
              <w:rPr>
                <w:sz w:val="19"/>
              </w:rPr>
              <w:t>Streamlit — 6 pages, CSV upload, Plotly charts</w:t>
            </w:r>
          </w:p>
        </w:tc>
      </w:tr>
      <w:tr>
        <w:tc>
          <w:tcPr>
            <w:tcW w:type="dxa" w:w="2160"/>
            <w:shd w:val="clear" w:color="auto" w:fill="FFFFFF"/>
          </w:tcPr>
          <w:p>
            <w:pPr>
              <w:jc w:val="center"/>
            </w:pPr>
            <w:r>
              <w:rPr>
                <w:sz w:val="19"/>
              </w:rPr>
              <w:t>Charts</w:t>
            </w:r>
          </w:p>
        </w:tc>
        <w:tc>
          <w:tcPr>
            <w:tcW w:type="dxa" w:w="3600"/>
            <w:shd w:val="clear" w:color="auto" w:fill="FFFFFF"/>
          </w:tcPr>
          <w:p>
            <w:pPr>
              <w:jc w:val="center"/>
            </w:pPr>
            <w:r>
              <w:rPr>
                <w:sz w:val="19"/>
              </w:rPr>
              <w:t>charts/ (17 PNG files)</w:t>
            </w:r>
          </w:p>
        </w:tc>
        <w:tc>
          <w:tcPr>
            <w:tcW w:type="dxa" w:w="3600"/>
            <w:shd w:val="clear" w:color="auto" w:fill="FFFFFF"/>
          </w:tcPr>
          <w:p>
            <w:pPr>
              <w:jc w:val="center"/>
            </w:pPr>
            <w:r>
              <w:rPr>
                <w:sz w:val="19"/>
              </w:rPr>
              <w:t>All visualisations generated by generate_charts.py</w:t>
            </w:r>
          </w:p>
        </w:tc>
      </w:tr>
      <w:tr>
        <w:tc>
          <w:tcPr>
            <w:tcW w:type="dxa" w:w="2160"/>
            <w:shd w:val="clear" w:color="auto" w:fill="EBF3FB"/>
          </w:tcPr>
          <w:p>
            <w:pPr>
              <w:jc w:val="center"/>
            </w:pPr>
            <w:r>
              <w:rPr>
                <w:sz w:val="19"/>
              </w:rPr>
              <w:t>Reports</w:t>
            </w:r>
          </w:p>
        </w:tc>
        <w:tc>
          <w:tcPr>
            <w:tcW w:type="dxa" w:w="3600"/>
            <w:shd w:val="clear" w:color="auto" w:fill="EBF3FB"/>
          </w:tcPr>
          <w:p>
            <w:pPr>
              <w:jc w:val="center"/>
            </w:pPr>
            <w:r>
              <w:rPr>
                <w:sz w:val="19"/>
              </w:rPr>
              <w:t>stock_analysis/*.docx</w:t>
            </w:r>
          </w:p>
        </w:tc>
        <w:tc>
          <w:tcPr>
            <w:tcW w:type="dxa" w:w="3600"/>
            <w:shd w:val="clear" w:color="auto" w:fill="EBF3FB"/>
          </w:tcPr>
          <w:p>
            <w:pPr>
              <w:jc w:val="center"/>
            </w:pPr>
            <w:r>
              <w:rPr>
                <w:sz w:val="19"/>
              </w:rPr>
              <w:t>Auto-generated business &amp; project reports</w:t>
            </w:r>
          </w:p>
        </w:tc>
      </w:tr>
    </w:tbl>
    <w:p/>
    <w:p>
      <w:pPr>
        <w:pBdr>
          <w:bottom w:val="single" w:sz="4" w:space="1" w:color="1F77B4"/>
        </w:pBdr>
      </w:pPr>
    </w:p>
    <w:p>
      <w:pPr>
        <w:jc w:val="center"/>
      </w:pPr>
      <w:r>
        <w:rPr>
          <w:i/>
          <w:color w:val="57606A"/>
          <w:sz w:val="17"/>
        </w:rPr>
        <w:t>Generated automatically by the Stock Market Analysis System  ·  September 24, 2026  ·  AMZN Dataset: 1997-05-15 – 2026-09-22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