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4EDD1">
      <w:pPr>
        <w:spacing w:before="0" w:after="40"/>
      </w:pPr>
      <w:r>
        <w:rPr>
          <w:rFonts w:ascii="Calibri" w:hAnsi="Calibri"/>
          <w:b/>
          <w:color w:val="1B365D"/>
          <w:sz w:val="48"/>
        </w:rPr>
        <w:t>Technical Document</w:t>
      </w:r>
    </w:p>
    <w:p w14:paraId="50A49792">
      <w:bookmarkStart w:id="0" w:name="_GoBack"/>
      <w:bookmarkEnd w:id="0"/>
      <w:r>
        <w:t>This document details the architectural design, key implementation decisions, logic boundaries, and fault-tolerance mechanisms of the AI-powered Shopify Customer Assistant. It serves to comprehensively answer two foundational engineering requirements: how the platform was constructed, and how the core systems safely manage runtime degradation.</w:t>
      </w:r>
    </w:p>
    <w:p w14:paraId="596BFBCA">
      <w:pPr>
        <w:keepNext/>
        <w:spacing w:before="360" w:after="120"/>
      </w:pPr>
      <w:r>
        <w:rPr>
          <w:b/>
          <w:color w:val="1B365D"/>
          <w:sz w:val="32"/>
        </w:rPr>
        <w:t>1. System Architecture</w:t>
      </w:r>
    </w:p>
    <w:p w14:paraId="19E024A1">
      <w:r>
        <w:t>The system utilizes a decoupled, modern asynchronous architecture explicitly optimized for high-throughput, low-latency I/O operations across remote external network dependencies.</w:t>
      </w:r>
    </w:p>
    <w:p w14:paraId="378F5419">
      <w:pPr>
        <w:keepNext/>
        <w:spacing w:before="240" w:after="80"/>
      </w:pPr>
      <w:r>
        <w:rPr>
          <w:b/>
          <w:color w:val="4A777A"/>
          <w:sz w:val="26"/>
        </w:rPr>
        <w:t>Core Components</w:t>
      </w:r>
    </w:p>
    <w:p w14:paraId="1A43E0B2">
      <w:pPr>
        <w:pStyle w:val="23"/>
        <w:spacing w:after="80"/>
      </w:pPr>
      <w:r>
        <w:rPr>
          <w:b/>
          <w:color w:val="1B365D"/>
        </w:rPr>
        <w:t xml:space="preserve">Client Layer: </w:t>
      </w:r>
      <w:r>
        <w:t>The frontend customer chat interface that safely compiles context arrays and dispatches asynchronous HTTP POST requests containing raw user messages to the backend service.</w:t>
      </w:r>
    </w:p>
    <w:p w14:paraId="1A396202">
      <w:pPr>
        <w:pStyle w:val="23"/>
        <w:spacing w:after="80"/>
      </w:pPr>
      <w:r>
        <w:rPr>
          <w:b/>
          <w:color w:val="1B365D"/>
        </w:rPr>
        <w:t xml:space="preserve">Application Gateway (FastAPI Backend): </w:t>
      </w:r>
      <w:r>
        <w:t>Exposes high-performance REST endpoints (/api/chat). Implements cross-origin resource sharing (CORS) rules, executes rigid structural payload schema validation via Pydantic, and manages service worker lifecycle routines.</w:t>
      </w:r>
    </w:p>
    <w:p w14:paraId="7C435E0C">
      <w:pPr>
        <w:pStyle w:val="23"/>
        <w:spacing w:after="80"/>
      </w:pPr>
      <w:r>
        <w:rPr>
          <w:b/>
          <w:color w:val="1B365D"/>
        </w:rPr>
        <w:t xml:space="preserve">Orchestration &amp; State Engine: </w:t>
      </w:r>
      <w:r>
        <w:t>Programmatically manages conversational state context, dynamically maintains message history logs, handles system instructional template routing, and isolates state transitions.</w:t>
      </w:r>
    </w:p>
    <w:p w14:paraId="5D982B67">
      <w:pPr>
        <w:pStyle w:val="23"/>
        <w:spacing w:after="80"/>
      </w:pPr>
      <w:r>
        <w:rPr>
          <w:b/>
          <w:color w:val="1B365D"/>
        </w:rPr>
        <w:t xml:space="preserve">AI/LLM Intelligence Layer (OpenAI Client): </w:t>
      </w:r>
      <w:r>
        <w:t>Utilizes advanced foundation language models explicitly configured with native structural tool-calling definitions (JSON function schemas) to interpret raw intent and output deterministic parameter arguments.</w:t>
      </w:r>
    </w:p>
    <w:p w14:paraId="372F1087">
      <w:pPr>
        <w:pStyle w:val="23"/>
        <w:spacing w:after="80"/>
      </w:pPr>
      <w:r>
        <w:rPr>
          <w:b/>
          <w:color w:val="1B365D"/>
        </w:rPr>
        <w:t xml:space="preserve">External Integration Layer (Shopify Admin API): </w:t>
      </w:r>
      <w:r>
        <w:t>Interfaces securely with the client storefront's database engine via authenticated GraphQL or REST endpoints to inspect live product catalogs, inventory balances, collections, and metadata records.</w:t>
      </w:r>
    </w:p>
    <w:p w14:paraId="7B391DB7">
      <w:pPr>
        <w:keepNext/>
        <w:spacing w:before="240" w:after="80"/>
      </w:pPr>
      <w:r>
        <w:rPr>
          <w:b/>
          <w:color w:val="4A777A"/>
          <w:sz w:val="26"/>
        </w:rPr>
        <w:t>Data Flow &amp; Connectivity Pipeline</w:t>
      </w:r>
    </w:p>
    <w:p w14:paraId="5A68FE4D">
      <w:pPr>
        <w:spacing w:after="80"/>
        <w:ind w:left="360"/>
      </w:pPr>
      <w:r>
        <w:rPr>
          <w:b/>
          <w:color w:val="4A777A"/>
        </w:rPr>
        <w:t xml:space="preserve">1. </w:t>
      </w:r>
      <w:r>
        <w:t>Ingress: The client interface captures raw human chat queries (e.g., 'Do you have blue running shoes under $50?') and posts them as structured JSON payloads to the backend API gateway.</w:t>
      </w:r>
    </w:p>
    <w:p w14:paraId="08704F4D">
      <w:pPr>
        <w:spacing w:after="80"/>
        <w:ind w:left="360"/>
      </w:pPr>
      <w:r>
        <w:rPr>
          <w:b/>
          <w:color w:val="4A777A"/>
        </w:rPr>
        <w:t xml:space="preserve">2. </w:t>
      </w:r>
      <w:r>
        <w:t>Context Assembly: The FastAPI service intercepts the request, maps payload schemas through explicit validation rules, loads historical conversation context vectors from state arrays, and organizes raw message structures.</w:t>
      </w:r>
    </w:p>
    <w:p w14:paraId="39B35C17">
      <w:pPr>
        <w:spacing w:after="80"/>
        <w:ind w:left="360"/>
      </w:pPr>
      <w:r>
        <w:rPr>
          <w:b/>
          <w:color w:val="4A777A"/>
        </w:rPr>
        <w:t xml:space="preserve">3. </w:t>
      </w:r>
      <w:r>
        <w:t>Intent Evaluation (LLM Engine Round 1): The combined conversation array alongside high-priority system prompts are systematically dispatched to the OpenAI API. The LLM evaluates the client query against structural JSON tool schemas (e.g., get_products).</w:t>
      </w:r>
    </w:p>
    <w:p w14:paraId="5A829008">
      <w:pPr>
        <w:spacing w:after="80"/>
        <w:ind w:left="360"/>
      </w:pPr>
      <w:r>
        <w:rPr>
          <w:b/>
          <w:color w:val="4A777A"/>
        </w:rPr>
        <w:t xml:space="preserve">4. </w:t>
      </w:r>
      <w:r>
        <w:t>Tool Interception &amp; Execution: Upon identifying tool compliance, the LLM pauses natural language generation and answers with a specific tool_calls object specifying structured arguments. The backend blocks external engine exposure, parses arguments, and issues a native query to the Shopify Admin API.</w:t>
      </w:r>
    </w:p>
    <w:p w14:paraId="39426F15">
      <w:pPr>
        <w:spacing w:after="80"/>
        <w:ind w:left="360"/>
      </w:pPr>
      <w:r>
        <w:rPr>
          <w:b/>
          <w:color w:val="4A777A"/>
        </w:rPr>
        <w:t xml:space="preserve">5. </w:t>
      </w:r>
      <w:r>
        <w:t>Synthesis &amp; Formatting (LLM Engine Round 2): The Shopify endpoint returns a strict dataset array. The backend captures this data payload, maps it into a tool-role context element, and forwards it back to the LLM. The model interprets the structural dataset and reformats it into a human-readable, brand-compliant response.</w:t>
      </w:r>
    </w:p>
    <w:p w14:paraId="4972B5FC">
      <w:pPr>
        <w:spacing w:after="80"/>
        <w:ind w:left="360"/>
      </w:pPr>
      <w:r>
        <w:rPr>
          <w:b/>
          <w:color w:val="4A777A"/>
        </w:rPr>
        <w:t xml:space="preserve">6. </w:t>
      </w:r>
      <w:r>
        <w:t>Egress: The synthesized text answer is passed down through FastAPI, where response headers are appended, and pushed back over HTTP to the customer interface.</w:t>
      </w:r>
    </w:p>
    <w:p w14:paraId="026C4489">
      <w:pPr>
        <w:keepNext/>
        <w:spacing w:before="360" w:after="120"/>
      </w:pPr>
      <w:r>
        <w:rPr>
          <w:b/>
          <w:color w:val="1B365D"/>
          <w:sz w:val="32"/>
        </w:rPr>
        <w:t>2. Key Implementation Decisions</w:t>
      </w:r>
    </w:p>
    <w:p w14:paraId="510D6ED8">
      <w:pPr>
        <w:pStyle w:val="23"/>
        <w:spacing w:after="120"/>
      </w:pPr>
      <w:r>
        <w:rPr>
          <w:b/>
        </w:rPr>
        <w:t xml:space="preserve">Asynchronous FastAPI Framework Selection: </w:t>
      </w:r>
      <w:r>
        <w:t>The team purposely passed over synchronous frameworks (such as legacy Flask configurations) in favor of Python's native async/await event loop structure inside FastAPI. This decision was driven by the application's heavy reliance on external network I/O blockages (waiting on OpenAI completions or Shopify inventory queries). Moving downstream requests into an asynchronous loop avoids single-threaded execution blocks and safely increases transaction concurrency capacity.</w:t>
      </w:r>
    </w:p>
    <w:p w14:paraId="34CDBC94">
      <w:pPr>
        <w:pStyle w:val="23"/>
        <w:spacing w:after="120"/>
      </w:pPr>
      <w:r>
        <w:rPr>
          <w:b/>
        </w:rPr>
        <w:t xml:space="preserve">Native Model Function Calling Over Prompt Engineering: </w:t>
      </w:r>
      <w:r>
        <w:t>Instead of applying complex string formatting rules, zero-shot example conditioning, or brittle regex parsers to force the LLM to output pure data structures, the system relies strictly on native OpenAI Tool Calling features. Providing explicit JSON schema constraints directly to the model's engine guarantees highly structured argument extraction, minimizes parsing faults, and streamlines data piping to external Shopify functions.</w:t>
      </w:r>
    </w:p>
    <w:p w14:paraId="4A5C8964">
      <w:pPr>
        <w:pStyle w:val="23"/>
        <w:spacing w:after="120"/>
      </w:pPr>
      <w:r>
        <w:rPr>
          <w:b/>
        </w:rPr>
        <w:t xml:space="preserve">Explicit In-Memory Message Matrix Management: </w:t>
      </w:r>
      <w:r>
        <w:t>Rather than wrapping logic blocks inside multi-layered third-party orchestration agents, the service maintains explicit control of historical arrays. This choice minimizes internal framework overhead, allows for precision auditing of structural history parameters, and simplifies token conservation routines.</w:t>
      </w:r>
    </w:p>
    <w:p w14:paraId="52A69442">
      <w:pPr>
        <w:keepNext/>
        <w:spacing w:before="360" w:after="120"/>
      </w:pPr>
      <w:r>
        <w:rPr>
          <w:b/>
          <w:color w:val="1B365D"/>
          <w:sz w:val="32"/>
        </w:rPr>
        <w:t>3. AI/LLM vs. Deterministic Code (The Architectural Boundary)</w:t>
      </w:r>
    </w:p>
    <w:p w14:paraId="7E5BA7D8">
      <w:r>
        <w:t>To ensure absolute data safety, structural security, and programmatic predictability, a strict boundary line separates probabilistic AI behaviors from hardcoded deterministic routines.</w:t>
      </w:r>
    </w:p>
    <w:p w14:paraId="367FF0E8">
      <w:pPr>
        <w:spacing w:before="160" w:after="160"/>
        <w:jc w:val="center"/>
      </w:pPr>
      <w:r>
        <w:rPr>
          <w:rFonts w:ascii="Consolas" w:hAnsi="Consolas"/>
          <w:color w:val="555555"/>
          <w:sz w:val="19"/>
        </w:rPr>
        <w:t>[ USER QUERY ]</w:t>
      </w:r>
      <w:r>
        <w:rPr>
          <w:rFonts w:ascii="Consolas" w:hAnsi="Consolas"/>
          <w:color w:val="555555"/>
          <w:sz w:val="19"/>
        </w:rPr>
        <w:br w:type="textWrapping"/>
      </w:r>
      <w:r>
        <w:rPr>
          <w:rFonts w:ascii="Consolas" w:hAnsi="Consolas"/>
          <w:color w:val="555555"/>
          <w:sz w:val="19"/>
        </w:rPr>
        <w:t xml:space="preserve">       │</w:t>
      </w:r>
      <w:r>
        <w:rPr>
          <w:rFonts w:ascii="Consolas" w:hAnsi="Consolas"/>
          <w:color w:val="555555"/>
          <w:sz w:val="19"/>
        </w:rPr>
        <w:br w:type="textWrapping"/>
      </w:r>
      <w:r>
        <w:rPr>
          <w:rFonts w:ascii="Consolas" w:hAnsi="Consolas"/>
          <w:color w:val="555555"/>
          <w:sz w:val="19"/>
        </w:rPr>
        <w:t xml:space="preserve">       ▼</w:t>
      </w:r>
      <w:r>
        <w:rPr>
          <w:rFonts w:ascii="Consolas" w:hAnsi="Consolas"/>
          <w:color w:val="555555"/>
          <w:sz w:val="19"/>
        </w:rPr>
        <w:br w:type="textWrapping"/>
      </w:r>
      <w:r>
        <w:rPr>
          <w:rFonts w:ascii="Consolas" w:hAnsi="Consolas"/>
          <w:color w:val="555555"/>
          <w:sz w:val="19"/>
        </w:rPr>
        <w:t>[ AI/LLM LAYER (Probabilistic NLP Engine) ]</w:t>
      </w:r>
      <w:r>
        <w:rPr>
          <w:rFonts w:ascii="Consolas" w:hAnsi="Consolas"/>
          <w:color w:val="555555"/>
          <w:sz w:val="19"/>
        </w:rPr>
        <w:br w:type="textWrapping"/>
      </w:r>
      <w:r>
        <w:rPr>
          <w:rFonts w:ascii="Consolas" w:hAnsi="Consolas"/>
          <w:color w:val="555555"/>
          <w:sz w:val="19"/>
        </w:rPr>
        <w:t xml:space="preserve"> ── Interpret Natural Language &amp; Infer Intent</w:t>
      </w:r>
      <w:r>
        <w:rPr>
          <w:rFonts w:ascii="Consolas" w:hAnsi="Consolas"/>
          <w:color w:val="555555"/>
          <w:sz w:val="19"/>
        </w:rPr>
        <w:br w:type="textWrapping"/>
      </w:r>
      <w:r>
        <w:rPr>
          <w:rFonts w:ascii="Consolas" w:hAnsi="Consolas"/>
          <w:color w:val="555555"/>
          <w:sz w:val="19"/>
        </w:rPr>
        <w:t xml:space="preserve"> ── Map Intent onto Explicit Structural Schemes</w:t>
      </w:r>
      <w:r>
        <w:rPr>
          <w:rFonts w:ascii="Consolas" w:hAnsi="Consolas"/>
          <w:color w:val="555555"/>
          <w:sz w:val="19"/>
        </w:rPr>
        <w:br w:type="textWrapping"/>
      </w:r>
      <w:r>
        <w:rPr>
          <w:rFonts w:ascii="Consolas" w:hAnsi="Consolas"/>
          <w:color w:val="555555"/>
          <w:sz w:val="19"/>
        </w:rPr>
        <w:t xml:space="preserve">       │</w:t>
      </w:r>
      <w:r>
        <w:rPr>
          <w:rFonts w:ascii="Consolas" w:hAnsi="Consolas"/>
          <w:color w:val="555555"/>
          <w:sz w:val="19"/>
        </w:rPr>
        <w:br w:type="textWrapping"/>
      </w:r>
      <w:r>
        <w:rPr>
          <w:rFonts w:ascii="Consolas" w:hAnsi="Consolas"/>
          <w:color w:val="555555"/>
          <w:sz w:val="19"/>
        </w:rPr>
        <w:t xml:space="preserve">       ▼ (Tool Calls &amp; Parsed Arguments)</w:t>
      </w:r>
      <w:r>
        <w:rPr>
          <w:rFonts w:ascii="Consolas" w:hAnsi="Consolas"/>
          <w:color w:val="555555"/>
          <w:sz w:val="19"/>
        </w:rPr>
        <w:br w:type="textWrapping"/>
      </w:r>
      <w:r>
        <w:rPr>
          <w:rFonts w:ascii="Consolas" w:hAnsi="Consolas"/>
          <w:color w:val="555555"/>
          <w:sz w:val="19"/>
        </w:rPr>
        <w:t>[ DETERMINISTIC LAYER (Hardcoded Python Framework) ]</w:t>
      </w:r>
      <w:r>
        <w:rPr>
          <w:rFonts w:ascii="Consolas" w:hAnsi="Consolas"/>
          <w:color w:val="555555"/>
          <w:sz w:val="19"/>
        </w:rPr>
        <w:br w:type="textWrapping"/>
      </w:r>
      <w:r>
        <w:rPr>
          <w:rFonts w:ascii="Consolas" w:hAnsi="Consolas"/>
          <w:color w:val="555555"/>
          <w:sz w:val="19"/>
        </w:rPr>
        <w:t xml:space="preserve"> ── Payload Structural Integrity Audits (Pydantic)</w:t>
      </w:r>
      <w:r>
        <w:rPr>
          <w:rFonts w:ascii="Consolas" w:hAnsi="Consolas"/>
          <w:color w:val="555555"/>
          <w:sz w:val="19"/>
        </w:rPr>
        <w:br w:type="textWrapping"/>
      </w:r>
      <w:r>
        <w:rPr>
          <w:rFonts w:ascii="Consolas" w:hAnsi="Consolas"/>
          <w:color w:val="555555"/>
          <w:sz w:val="19"/>
        </w:rPr>
        <w:t xml:space="preserve"> ── Network Call Management &amp; Token Sanitization</w:t>
      </w:r>
      <w:r>
        <w:rPr>
          <w:rFonts w:ascii="Consolas" w:hAnsi="Consolas"/>
          <w:color w:val="555555"/>
          <w:sz w:val="19"/>
        </w:rPr>
        <w:br w:type="textWrapping"/>
      </w:r>
      <w:r>
        <w:rPr>
          <w:rFonts w:ascii="Consolas" w:hAnsi="Consolas"/>
          <w:color w:val="555555"/>
          <w:sz w:val="19"/>
        </w:rPr>
        <w:t xml:space="preserve"> ── Shopify API Execution &amp; Exception Interception</w:t>
      </w:r>
    </w:p>
    <w:p w14:paraId="78B2A4FE">
      <w:r>
        <w:t>The architectural division of responsibilities is split as follows:</w:t>
      </w:r>
    </w:p>
    <w:p w14:paraId="5331D503">
      <w:pPr>
        <w:pStyle w:val="23"/>
        <w:spacing w:after="80"/>
      </w:pPr>
      <w:r>
        <w:rPr>
          <w:b/>
        </w:rPr>
        <w:t xml:space="preserve">Probabilistic AI Operations: </w:t>
      </w:r>
      <w:r>
        <w:t>Tasked exclusively with parsing linguistic input nuances, standardizing intent models, mapping user preferences to tool parameter sets, and transforming raw database result listings into pleasant conversational client prose.</w:t>
      </w:r>
    </w:p>
    <w:p w14:paraId="073E5AD7">
      <w:pPr>
        <w:pStyle w:val="23"/>
        <w:spacing w:after="80"/>
      </w:pPr>
      <w:r>
        <w:rPr>
          <w:b/>
        </w:rPr>
        <w:t xml:space="preserve">Deterministic Program Logic: </w:t>
      </w:r>
      <w:r>
        <w:t>Enforces strict type safety constraints via Pydantic, controls state variable evolution, executes physical HTTP connections to external APIs, masks administrative keys, manages timeout policies, and intercepts execution anomalies before they impact the presentation layer.</w:t>
      </w:r>
    </w:p>
    <w:p w14:paraId="27238F3A">
      <w:r>
        <w:t xml:space="preserve">This separation provides two significant engineering benefits: </w:t>
      </w:r>
      <w:r>
        <w:rPr>
          <w:b/>
        </w:rPr>
        <w:t xml:space="preserve">1) Network Isolation: </w:t>
      </w:r>
      <w:r>
        <w:t xml:space="preserve">The LLM has zero direct visibility or raw connection privileges to store infrastructure; it functions purely as an analytical engine. </w:t>
      </w:r>
      <w:r>
        <w:rPr>
          <w:b/>
        </w:rPr>
        <w:t xml:space="preserve">2) Transactional Stability: </w:t>
      </w:r>
      <w:r>
        <w:t>Any structural variations or formatting errors introduced by the AI model are parsed, vetted, and sanitized by deterministic filters prior to reaching external platforms.</w:t>
      </w:r>
    </w:p>
    <w:p w14:paraId="522E419B">
      <w:pPr>
        <w:keepNext/>
        <w:spacing w:before="360" w:after="120"/>
      </w:pPr>
      <w:r>
        <w:rPr>
          <w:b/>
          <w:color w:val="1B365D"/>
          <w:sz w:val="32"/>
        </w:rPr>
        <w:t>4. Failure Handling &amp; Graceful Degradation</w:t>
      </w:r>
    </w:p>
    <w:p w14:paraId="1938B096">
      <w:r>
        <w:t>The system is engineered around defensive development methodologies, incorporating structural guardrails to gracefully handle external runtime anomalies.</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3A2FAD3C">
        <w:tblPrEx>
          <w:tblCellMar>
            <w:top w:w="0" w:type="dxa"/>
            <w:left w:w="108" w:type="dxa"/>
            <w:bottom w:w="0" w:type="dxa"/>
            <w:right w:w="108" w:type="dxa"/>
          </w:tblCellMar>
        </w:tblPrEx>
        <w:trPr>
          <w:jc w:val="center"/>
        </w:trPr>
        <w:tc>
          <w:tcPr>
            <w:tcW w:w="3120" w:type="dxa"/>
            <w:shd w:val="clear" w:color="auto" w:fill="1B365D"/>
            <w:tcMar>
              <w:top w:w="120" w:type="dxa"/>
              <w:left w:w="150" w:type="dxa"/>
              <w:bottom w:w="120" w:type="dxa"/>
              <w:right w:w="150" w:type="dxa"/>
            </w:tcMar>
          </w:tcPr>
          <w:p w14:paraId="0304ED02">
            <w:pPr>
              <w:jc w:val="left"/>
            </w:pPr>
            <w:r>
              <w:rPr>
                <w:b/>
                <w:color w:val="FFFFFF"/>
                <w:sz w:val="20"/>
              </w:rPr>
              <w:t>Scenario / Point of Failure</w:t>
            </w:r>
          </w:p>
        </w:tc>
        <w:tc>
          <w:tcPr>
            <w:tcW w:w="3120" w:type="dxa"/>
            <w:shd w:val="clear" w:color="auto" w:fill="1B365D"/>
            <w:tcMar>
              <w:top w:w="120" w:type="dxa"/>
              <w:left w:w="150" w:type="dxa"/>
              <w:bottom w:w="120" w:type="dxa"/>
              <w:right w:w="150" w:type="dxa"/>
            </w:tcMar>
          </w:tcPr>
          <w:p w14:paraId="1D0D3E5F">
            <w:pPr>
              <w:jc w:val="left"/>
            </w:pPr>
            <w:r>
              <w:rPr>
                <w:b/>
                <w:color w:val="FFFFFF"/>
                <w:sz w:val="20"/>
              </w:rPr>
              <w:t>Technical Consequence</w:t>
            </w:r>
          </w:p>
        </w:tc>
        <w:tc>
          <w:tcPr>
            <w:tcW w:w="3120" w:type="dxa"/>
            <w:shd w:val="clear" w:color="auto" w:fill="1B365D"/>
            <w:tcMar>
              <w:top w:w="120" w:type="dxa"/>
              <w:left w:w="150" w:type="dxa"/>
              <w:bottom w:w="120" w:type="dxa"/>
              <w:right w:w="150" w:type="dxa"/>
            </w:tcMar>
          </w:tcPr>
          <w:p w14:paraId="014DC23B">
            <w:pPr>
              <w:jc w:val="left"/>
            </w:pPr>
            <w:r>
              <w:rPr>
                <w:b/>
                <w:color w:val="FFFFFF"/>
                <w:sz w:val="20"/>
              </w:rPr>
              <w:t>Graceful Degradation Strategy</w:t>
            </w:r>
          </w:p>
        </w:tc>
      </w:tr>
      <w:tr w14:paraId="12123D68">
        <w:tblPrEx>
          <w:tblCellMar>
            <w:top w:w="0" w:type="dxa"/>
            <w:left w:w="108" w:type="dxa"/>
            <w:bottom w:w="0" w:type="dxa"/>
            <w:right w:w="108" w:type="dxa"/>
          </w:tblCellMar>
        </w:tblPrEx>
        <w:trPr>
          <w:jc w:val="center"/>
        </w:trPr>
        <w:tc>
          <w:tcPr>
            <w:tcW w:w="3120" w:type="dxa"/>
            <w:tcBorders>
              <w:top w:val="single" w:color="DDDDDD" w:sz="4" w:space="0"/>
              <w:left w:val="single" w:color="DDDDDD" w:sz="4" w:space="0"/>
              <w:bottom w:val="single" w:color="DDDDDD" w:sz="4" w:space="0"/>
              <w:right w:val="single" w:color="DDDDDD" w:sz="4" w:space="0"/>
            </w:tcBorders>
            <w:shd w:val="clear" w:color="auto" w:fill="FFFFFF"/>
            <w:tcMar>
              <w:top w:w="100" w:type="dxa"/>
              <w:left w:w="150" w:type="dxa"/>
              <w:bottom w:w="100" w:type="dxa"/>
              <w:right w:w="150" w:type="dxa"/>
            </w:tcMar>
          </w:tcPr>
          <w:p w14:paraId="5CCC79EE">
            <w:r>
              <w:rPr>
                <w:sz w:val="19"/>
              </w:rPr>
              <w:t>Shopify API Downtime or Rate Limiting (HTTP 429/5xx Errors)</w:t>
            </w:r>
          </w:p>
        </w:tc>
        <w:tc>
          <w:tcPr>
            <w:tcW w:w="3120" w:type="dxa"/>
            <w:tcBorders>
              <w:top w:val="single" w:color="DDDDDD" w:sz="4" w:space="0"/>
              <w:left w:val="single" w:color="DDDDDD" w:sz="4" w:space="0"/>
              <w:bottom w:val="single" w:color="DDDDDD" w:sz="4" w:space="0"/>
              <w:right w:val="single" w:color="DDDDDD" w:sz="4" w:space="0"/>
            </w:tcBorders>
            <w:shd w:val="clear" w:color="auto" w:fill="FFFFFF"/>
            <w:tcMar>
              <w:top w:w="100" w:type="dxa"/>
              <w:left w:w="150" w:type="dxa"/>
              <w:bottom w:w="100" w:type="dxa"/>
              <w:right w:w="150" w:type="dxa"/>
            </w:tcMar>
          </w:tcPr>
          <w:p w14:paraId="7E7D9B1C">
            <w:r>
              <w:rPr>
                <w:sz w:val="19"/>
              </w:rPr>
              <w:t>Database connectivity halts during live inventory inquiries.</w:t>
            </w:r>
          </w:p>
        </w:tc>
        <w:tc>
          <w:tcPr>
            <w:tcW w:w="3120" w:type="dxa"/>
            <w:tcBorders>
              <w:top w:val="single" w:color="DDDDDD" w:sz="4" w:space="0"/>
              <w:left w:val="single" w:color="DDDDDD" w:sz="4" w:space="0"/>
              <w:bottom w:val="single" w:color="DDDDDD" w:sz="4" w:space="0"/>
              <w:right w:val="single" w:color="DDDDDD" w:sz="4" w:space="0"/>
            </w:tcBorders>
            <w:shd w:val="clear" w:color="auto" w:fill="FFFFFF"/>
            <w:tcMar>
              <w:top w:w="100" w:type="dxa"/>
              <w:left w:w="150" w:type="dxa"/>
              <w:bottom w:w="100" w:type="dxa"/>
              <w:right w:w="150" w:type="dxa"/>
            </w:tcMar>
          </w:tcPr>
          <w:p w14:paraId="567682F5">
            <w:r>
              <w:rPr>
                <w:sz w:val="19"/>
              </w:rPr>
              <w:t>The deterministic layer catches network execution exceptions, registers telemetry logs, and injects a fallback message into the core conversation array: 'System Notice: Live catalog inaccessible'. The LLM engine reads this context adjustment and uses its fallback routines to inform the client that lookups are down, while keeping the chat open for general service requests.</w:t>
            </w:r>
          </w:p>
        </w:tc>
      </w:tr>
      <w:tr w14:paraId="534AF7DB">
        <w:tblPrEx>
          <w:tblCellMar>
            <w:top w:w="0" w:type="dxa"/>
            <w:left w:w="108" w:type="dxa"/>
            <w:bottom w:w="0" w:type="dxa"/>
            <w:right w:w="108" w:type="dxa"/>
          </w:tblCellMar>
        </w:tblPrEx>
        <w:trPr>
          <w:jc w:val="center"/>
        </w:trPr>
        <w:tc>
          <w:tcPr>
            <w:tcW w:w="3120" w:type="dxa"/>
            <w:tcBorders>
              <w:top w:val="single" w:color="DDDDDD" w:sz="4" w:space="0"/>
              <w:left w:val="single" w:color="DDDDDD" w:sz="4" w:space="0"/>
              <w:bottom w:val="single" w:color="DDDDDD" w:sz="4" w:space="0"/>
              <w:right w:val="single" w:color="DDDDDD" w:sz="4" w:space="0"/>
            </w:tcBorders>
            <w:shd w:val="clear" w:color="auto" w:fill="F9FAFB"/>
            <w:tcMar>
              <w:top w:w="100" w:type="dxa"/>
              <w:left w:w="150" w:type="dxa"/>
              <w:bottom w:w="100" w:type="dxa"/>
              <w:right w:w="150" w:type="dxa"/>
            </w:tcMar>
          </w:tcPr>
          <w:p w14:paraId="310EA510">
            <w:r>
              <w:rPr>
                <w:sz w:val="19"/>
              </w:rPr>
              <w:t>Malformed LLM Schema Outbound (Hallucinations)</w:t>
            </w:r>
          </w:p>
        </w:tc>
        <w:tc>
          <w:tcPr>
            <w:tcW w:w="3120" w:type="dxa"/>
            <w:tcBorders>
              <w:top w:val="single" w:color="DDDDDD" w:sz="4" w:space="0"/>
              <w:left w:val="single" w:color="DDDDDD" w:sz="4" w:space="0"/>
              <w:bottom w:val="single" w:color="DDDDDD" w:sz="4" w:space="0"/>
              <w:right w:val="single" w:color="DDDDDD" w:sz="4" w:space="0"/>
            </w:tcBorders>
            <w:shd w:val="clear" w:color="auto" w:fill="F9FAFB"/>
            <w:tcMar>
              <w:top w:w="100" w:type="dxa"/>
              <w:left w:w="150" w:type="dxa"/>
              <w:bottom w:w="100" w:type="dxa"/>
              <w:right w:w="150" w:type="dxa"/>
            </w:tcMar>
          </w:tcPr>
          <w:p w14:paraId="041E16B8">
            <w:r>
              <w:rPr>
                <w:sz w:val="19"/>
              </w:rPr>
              <w:t>The model returns structurally invalid JSON parameters or requests non-existent tools.</w:t>
            </w:r>
          </w:p>
        </w:tc>
        <w:tc>
          <w:tcPr>
            <w:tcW w:w="3120" w:type="dxa"/>
            <w:tcBorders>
              <w:top w:val="single" w:color="DDDDDD" w:sz="4" w:space="0"/>
              <w:left w:val="single" w:color="DDDDDD" w:sz="4" w:space="0"/>
              <w:bottom w:val="single" w:color="DDDDDD" w:sz="4" w:space="0"/>
              <w:right w:val="single" w:color="DDDDDD" w:sz="4" w:space="0"/>
            </w:tcBorders>
            <w:shd w:val="clear" w:color="auto" w:fill="F9FAFB"/>
            <w:tcMar>
              <w:top w:w="100" w:type="dxa"/>
              <w:left w:w="150" w:type="dxa"/>
              <w:bottom w:w="100" w:type="dxa"/>
              <w:right w:w="150" w:type="dxa"/>
            </w:tcMar>
          </w:tcPr>
          <w:p w14:paraId="7A4045C2">
            <w:r>
              <w:rPr>
                <w:sz w:val="19"/>
              </w:rPr>
              <w:t>The service wraps JSON decoding blocks inside strict try-except statements. If structural logic errors or payload mismatches are detected, the backend intercepts the process before execution breaks. It suppresses the corrupt tool request and redirects the conversation loop via a user-facing query: 'I encountered an error processing that request, could you please rephrase your question?'</w:t>
            </w:r>
          </w:p>
        </w:tc>
      </w:tr>
      <w:tr w14:paraId="2B563493">
        <w:tblPrEx>
          <w:tblCellMar>
            <w:top w:w="0" w:type="dxa"/>
            <w:left w:w="108" w:type="dxa"/>
            <w:bottom w:w="0" w:type="dxa"/>
            <w:right w:w="108" w:type="dxa"/>
          </w:tblCellMar>
        </w:tblPrEx>
        <w:trPr>
          <w:jc w:val="center"/>
        </w:trPr>
        <w:tc>
          <w:tcPr>
            <w:tcW w:w="3120" w:type="dxa"/>
            <w:tcBorders>
              <w:top w:val="single" w:color="DDDDDD" w:sz="4" w:space="0"/>
              <w:left w:val="single" w:color="DDDDDD" w:sz="4" w:space="0"/>
              <w:bottom w:val="single" w:color="DDDDDD" w:sz="4" w:space="0"/>
              <w:right w:val="single" w:color="DDDDDD" w:sz="4" w:space="0"/>
            </w:tcBorders>
            <w:shd w:val="clear" w:color="auto" w:fill="FFFFFF"/>
            <w:tcMar>
              <w:top w:w="100" w:type="dxa"/>
              <w:left w:w="150" w:type="dxa"/>
              <w:bottom w:w="100" w:type="dxa"/>
              <w:right w:w="150" w:type="dxa"/>
            </w:tcMar>
          </w:tcPr>
          <w:p w14:paraId="51F2D2D6">
            <w:r>
              <w:rPr>
                <w:sz w:val="19"/>
              </w:rPr>
              <w:t>Unexpected User Input / Injection Attacks</w:t>
            </w:r>
          </w:p>
        </w:tc>
        <w:tc>
          <w:tcPr>
            <w:tcW w:w="3120" w:type="dxa"/>
            <w:tcBorders>
              <w:top w:val="single" w:color="DDDDDD" w:sz="4" w:space="0"/>
              <w:left w:val="single" w:color="DDDDDD" w:sz="4" w:space="0"/>
              <w:bottom w:val="single" w:color="DDDDDD" w:sz="4" w:space="0"/>
              <w:right w:val="single" w:color="DDDDDD" w:sz="4" w:space="0"/>
            </w:tcBorders>
            <w:shd w:val="clear" w:color="auto" w:fill="FFFFFF"/>
            <w:tcMar>
              <w:top w:w="100" w:type="dxa"/>
              <w:left w:w="150" w:type="dxa"/>
              <w:bottom w:w="100" w:type="dxa"/>
              <w:right w:w="150" w:type="dxa"/>
            </w:tcMar>
          </w:tcPr>
          <w:p w14:paraId="71AEB3A7">
            <w:r>
              <w:rPr>
                <w:sz w:val="19"/>
              </w:rPr>
              <w:t>Malicious system instructions or random text spam are passed to compromise the backend.</w:t>
            </w:r>
          </w:p>
        </w:tc>
        <w:tc>
          <w:tcPr>
            <w:tcW w:w="3120" w:type="dxa"/>
            <w:tcBorders>
              <w:top w:val="single" w:color="DDDDDD" w:sz="4" w:space="0"/>
              <w:left w:val="single" w:color="DDDDDD" w:sz="4" w:space="0"/>
              <w:bottom w:val="single" w:color="DDDDDD" w:sz="4" w:space="0"/>
              <w:right w:val="single" w:color="DDDDDD" w:sz="4" w:space="0"/>
            </w:tcBorders>
            <w:shd w:val="clear" w:color="auto" w:fill="FFFFFF"/>
            <w:tcMar>
              <w:top w:w="100" w:type="dxa"/>
              <w:left w:w="150" w:type="dxa"/>
              <w:bottom w:w="100" w:type="dxa"/>
              <w:right w:w="150" w:type="dxa"/>
            </w:tcMar>
          </w:tcPr>
          <w:p w14:paraId="1C1F4672">
            <w:r>
              <w:rPr>
                <w:sz w:val="19"/>
              </w:rPr>
              <w:t>1) Pre-Route Data Audits: The Pydantic parser drops irregular string structures before they interact with model parameters.</w:t>
            </w:r>
            <w:r>
              <w:rPr>
                <w:sz w:val="19"/>
              </w:rPr>
              <w:br w:type="textWrapping"/>
            </w:r>
            <w:r>
              <w:rPr>
                <w:sz w:val="19"/>
              </w:rPr>
              <w:t>2) Target Boundary System Prompts: Rigid structural rules isolate operational context, instructing the engine to reject administrative commands and redirect attention to normal shopping scopes.</w:t>
            </w:r>
          </w:p>
        </w:tc>
      </w:tr>
    </w:tbl>
    <w:p w14:paraId="5EBDE6BE">
      <w:pPr>
        <w:spacing w:before="240"/>
      </w:pPr>
    </w:p>
    <w:p w14:paraId="3372A0F6">
      <w:pPr>
        <w:keepNext/>
        <w:spacing w:before="360" w:after="120"/>
      </w:pPr>
      <w:r>
        <w:rPr>
          <w:b/>
          <w:color w:val="1B365D"/>
          <w:sz w:val="32"/>
        </w:rPr>
        <w:t>5. Known Limitations &amp; Future Improvements</w:t>
      </w:r>
    </w:p>
    <w:p w14:paraId="7201CD06">
      <w:pPr>
        <w:keepNext/>
        <w:spacing w:before="240" w:after="80"/>
      </w:pPr>
      <w:r>
        <w:rPr>
          <w:b/>
          <w:color w:val="4A777A"/>
          <w:sz w:val="26"/>
        </w:rPr>
        <w:t>Current System Constraints</w:t>
      </w:r>
    </w:p>
    <w:p w14:paraId="28C4D919">
      <w:pPr>
        <w:pStyle w:val="23"/>
        <w:spacing w:after="80"/>
      </w:pPr>
      <w:r>
        <w:rPr>
          <w:b/>
        </w:rPr>
        <w:t xml:space="preserve">Volatile Memory State Ephemerality: </w:t>
      </w:r>
      <w:r>
        <w:t>Active conversation logs reside exclusively within the application's runtime cache memory. Any routine backend container restarts, deployment cycles, or scaling operations instantly clear all active client context maps.</w:t>
      </w:r>
    </w:p>
    <w:p w14:paraId="4D5A5DC4">
      <w:pPr>
        <w:pStyle w:val="23"/>
        <w:spacing w:after="80"/>
      </w:pPr>
      <w:r>
        <w:rPr>
          <w:b/>
        </w:rPr>
        <w:t xml:space="preserve">Context Window Bleed &amp; Scale: </w:t>
      </w:r>
      <w:r>
        <w:t>Extended customer interactions cause historical message sequences to grow exponentially. This expands token use per exchange, raising transactional costs and adding latency to responses over time.</w:t>
      </w:r>
    </w:p>
    <w:p w14:paraId="7FA84284">
      <w:pPr>
        <w:pStyle w:val="23"/>
        <w:spacing w:after="80"/>
      </w:pPr>
      <w:r>
        <w:rPr>
          <w:b/>
        </w:rPr>
        <w:t xml:space="preserve">Static Single-Locale Target Profile: </w:t>
      </w:r>
      <w:r>
        <w:t>The underlying logic assumes fixed store configuration matrices, lacking built-in support for multiple currencies, real-time localized currency translation, or regional catalog scoping rules.</w:t>
      </w:r>
    </w:p>
    <w:p w14:paraId="3155DACC">
      <w:pPr>
        <w:keepNext/>
        <w:spacing w:before="240" w:after="80"/>
      </w:pPr>
      <w:r>
        <w:rPr>
          <w:b/>
          <w:color w:val="4A777A"/>
          <w:sz w:val="26"/>
        </w:rPr>
        <w:t>Future Roadmap Initiatives</w:t>
      </w:r>
    </w:p>
    <w:p w14:paraId="0E1FC4E8">
      <w:pPr>
        <w:pStyle w:val="23"/>
        <w:spacing w:after="80"/>
      </w:pPr>
      <w:r>
        <w:rPr>
          <w:b/>
        </w:rPr>
        <w:t xml:space="preserve">Persistent Distributed Caching Layers: </w:t>
      </w:r>
      <w:r>
        <w:t>Transition active conversation session management away from application memory instances and into high-availability distributed Redis caches or PostgreSQL clusters built with automated Time-To-Live (TTL) record expiration properties.</w:t>
      </w:r>
    </w:p>
    <w:p w14:paraId="2888F270">
      <w:pPr>
        <w:pStyle w:val="23"/>
        <w:spacing w:after="80"/>
      </w:pPr>
      <w:r>
        <w:rPr>
          <w:b/>
        </w:rPr>
        <w:t xml:space="preserve">Automated Sliding Context Summary Routines: </w:t>
      </w:r>
      <w:r>
        <w:t>Integrate runtime context processing sub-routines. When a chat transaction exceeds 10 turns, an asynchronous model call condenses older conversational components into a short semantic summary paragraph, keeping token consumption highly predictable.</w:t>
      </w:r>
    </w:p>
    <w:p w14:paraId="2D4F2F4E">
      <w:pPr>
        <w:pStyle w:val="23"/>
        <w:spacing w:after="80"/>
      </w:pPr>
      <w:r>
        <w:rPr>
          <w:b/>
        </w:rPr>
        <w:t xml:space="preserve">Vector-Based Search &amp; Hybrid RAG Patterns: </w:t>
      </w:r>
      <w:r>
        <w:t>Augment raw keyword API inquiries with a fully integrated vector repository (e.g., Pinecone or ChromaDB). Storing catalog descriptions as high-density geometric vectors enables context-rich, semantic searching that avoids traditional keyword mapping constraints.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F264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1282</Words>
  <Characters>8545</Characters>
  <Lines>0</Lines>
  <Paragraphs>0</Paragraphs>
  <TotalTime>0</TotalTime>
  <ScaleCrop>false</ScaleCrop>
  <LinksUpToDate>false</LinksUpToDate>
  <CharactersWithSpaces>9796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Kunal Gaurav</cp:lastModifiedBy>
  <dcterms:modified xsi:type="dcterms:W3CDTF">2026-05-20T12:01:21Z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eyJoZGlkIjoiMzg1ZGM3MzE4ZDA4N2Q0ZjNlODIzMTdhMjQ5OGQwYWMiLCJ1c2VySWQiOiI1Njc0MjA4NDk4OTAifQ==</vt:lpwstr>
  </property>
  <property fmtid="{D5CDD505-2E9C-101B-9397-08002B2CF9AE}" pid="3" name="KSOProductBuildVer">
    <vt:lpwstr>1033-12.1.0.26372</vt:lpwstr>
  </property>
  <property fmtid="{D5CDD505-2E9C-101B-9397-08002B2CF9AE}" pid="4" name="ICV">
    <vt:lpwstr>3137AB8265E44562975C36F1FA5A8B6B_13</vt:lpwstr>
  </property>
</Properties>
</file>