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0F4C81"/>
          <w:sz w:val="60"/>
        </w:rPr>
        <w:t>Kailash HMS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6"/>
        </w:rPr>
        <w:t>AI-First Hospital Management System</w:t>
      </w:r>
    </w:p>
    <w:p/>
    <w:p/>
    <w:p>
      <w:pPr>
        <w:jc w:val="center"/>
      </w:pPr>
      <w:r>
        <w:rPr>
          <w:rFonts w:ascii="Calibri" w:hAnsi="Calibri"/>
          <w:b/>
          <w:i w:val="0"/>
          <w:color w:val="298AC8"/>
          <w:sz w:val="28"/>
        </w:rPr>
        <w:t>Document 00 — Master Index</w:t>
      </w:r>
    </w:p>
    <w:p>
      <w:pPr>
        <w:jc w:val="center"/>
      </w:pPr>
      <w:r>
        <w:rPr>
          <w:rFonts w:ascii="Calibri" w:hAnsi="Calibri"/>
          <w:b/>
          <w:i w:val="0"/>
          <w:color w:val="1A1F2C"/>
          <w:sz w:val="52"/>
        </w:rPr>
        <w:t>Spec Suite Master Index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4"/>
        </w:rPr>
        <w:t>How to read the Kailash HMS specification set</w:t>
      </w:r>
    </w:p>
    <w:p/>
    <w:p/>
    <w:p/>
    <w:p/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v1.0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01 Jun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Solution Architecture Team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Issued for review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5F6B7A"/>
          <w:sz w:val="18"/>
        </w:rPr>
        <w:t>Confidential — internal architecture &amp; planning artefact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Purpose</w:t>
      </w:r>
    </w:p>
    <w:p>
      <w:pPr>
        <w:spacing w:after="120"/>
      </w:pPr>
      <w:r>
        <w:t>This index is the single entry point to the Kailash HMS specification suite. It catalogues the eight v1.0 documents, explains how they relate to each other, and recommends a reading order tailored to each stakeholder role.</w:t>
      </w:r>
    </w:p>
    <w:p>
      <w:pPr>
        <w:spacing w:after="120"/>
      </w:pPr>
      <w:r>
        <w:t>Every document is grounded in the actual source code at src/ as of 2026-06-01. Where information is absent from the code base or only partially implemented, the corresponding fact is captured as a numbered gap in 07 — Gap Analysis, not invented.</w:t>
      </w:r>
    </w:p>
    <w:p>
      <w:pPr>
        <w:pStyle w:val="Heading1"/>
      </w:pPr>
      <w:r>
        <w:t>2. Document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#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Document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Primary audience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Page count (approx.)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Master Index (this document)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Business Requirements Document (BRD)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Sponsors, PM, QA, Compliance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18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Technical Requirements Document (TRD)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Engineering, Architecture, DevOps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Application Flow Document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PM, UX, QA, Training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22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04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UI/UX Design Blueprint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Design, Frontend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05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Backend Schema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Backend, Data, DevOps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14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06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Implementation Plan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Eng leadership, PMO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14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07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 Analysis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Eng leadership, Risk, QA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18</w:t>
            </w:r>
          </w:p>
        </w:tc>
      </w:tr>
    </w:tbl>
    <w:p/>
    <w:p>
      <w:pPr>
        <w:pStyle w:val="Heading1"/>
      </w:pPr>
      <w:r>
        <w:t>3. How the Documents Relate</w:t>
      </w:r>
    </w:p>
    <w:p>
      <w:pPr>
        <w:spacing w:after="120"/>
      </w:pPr>
      <w:r>
        <w:t>The suite is layered, not linear. Each layer answers a different question, and every layer downstream of the BRD traces back to it.</w:t>
      </w:r>
    </w:p>
    <w:p>
      <w:r>
        <w:rPr>
          <w:rFonts w:ascii="Calibri" w:hAnsi="Calibri"/>
          <w:b/>
          <w:i/>
          <w:color w:val="5F6B7A"/>
          <w:sz w:val="18"/>
        </w:rPr>
        <w:t>Mermaid diagram — Document dependency map (paste into any Mermaid renderer)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flowchart LR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BRD[01 BRD&lt;br/&gt;What &amp; Why] --&gt; TRD[02 TRD&lt;br/&gt;Architecture]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BRD --&gt; AppFlow[03 App Flow&lt;br/&gt;How users use it]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TRD --&gt; Schema[05 Backend Schema&lt;br/&gt;Data model]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TRD --&gt; UIUX[04 UI/UX Blueprint&lt;br/&gt;Design system]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AppFlow --&gt; UIUX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BRD --&gt; Gaps[07 Gap Analysis]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TRD --&gt; Gaps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AppFlow --&gt; Gaps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Schema --&gt; Gaps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UIUX --&gt; Gaps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Gaps --&gt; Plan[06 Implementation Plan]</w:t>
              <w:br/>
            </w:r>
          </w:p>
        </w:tc>
      </w:tr>
    </w:tbl>
    <w:p/>
    <w:p>
      <w:pPr>
        <w:pStyle w:val="Heading1"/>
      </w:pPr>
      <w:r>
        <w:t>4. Reading Paths by Role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Stakeholder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Read in this order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Sponsor / Executive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00 → §3 of 01 → §2 of 07 (top critical gaps) → §1 of 06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Product Manager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→ 03 → 07 → 06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00 → 02 → 05 → 03 → 07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Backend Engineer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→ 05 → 07 (Backend gaps) → 06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Frontend Engineer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03 → 04 → 02 (state mgmt section) → 07 (UX gaps)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UX/UI Designer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03 → 04 → 07 (UX gaps)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QA / Test Lead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→ 03 → 07 → 06 (acceptance criteria)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Compliance / Audit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(§Glossary, NABH/DPDP/DISHA) → 07 (Compliance gaps)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DevOps / SRE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(§Env &amp; Deployment) → 05 → 07 (Infra gaps)</w:t>
            </w:r>
          </w:p>
        </w:tc>
      </w:tr>
    </w:tbl>
    <w:p/>
    <w:p>
      <w:pPr>
        <w:pStyle w:val="Heading1"/>
      </w:pPr>
      <w:r>
        <w:t>5. Versioning &amp; Change Control</w:t>
      </w:r>
    </w:p>
    <w:p>
      <w:pPr>
        <w:pStyle w:val="ListBullet"/>
        <w:spacing w:after="40"/>
        <w:ind w:left="425"/>
      </w:pPr>
      <w:r>
        <w:t>All documents share the suite version (v1.0). Each is independently revisable but the suite is re-cut when at least three documents change.</w:t>
      </w:r>
    </w:p>
    <w:p>
      <w:pPr>
        <w:pStyle w:val="ListBullet"/>
        <w:spacing w:after="40"/>
        <w:ind w:left="425"/>
      </w:pPr>
      <w:r>
        <w:t>Version history is maintained in §A of each document. Changes that alter requirements (BRD), data model (Schema), or architecture (TRD) trigger a Gap Analysis review.</w:t>
      </w:r>
    </w:p>
    <w:p>
      <w:pPr>
        <w:pStyle w:val="ListBullet"/>
        <w:spacing w:after="40"/>
        <w:ind w:left="425"/>
      </w:pPr>
      <w:r>
        <w:t>Gap IDs (GAP-001 … GAP-NNN) are immutable once issued. Closed gaps remain in the register with a 'Closed' status.</w:t>
      </w:r>
    </w:p>
    <w:p>
      <w:pPr>
        <w:pStyle w:val="Heading1"/>
      </w:pPr>
      <w:r>
        <w:t>6. Conventions Used Throughout</w:t>
      </w:r>
    </w:p>
    <w:p>
      <w:pPr>
        <w:pStyle w:val="ListBullet"/>
        <w:spacing w:after="40"/>
        <w:ind w:left="425"/>
      </w:pPr>
      <w:r>
        <w:t>File paths refer to the repository root unless otherwise stated. Example: src/store/useAuditStore.ts.</w:t>
      </w:r>
    </w:p>
    <w:p>
      <w:pPr>
        <w:pStyle w:val="ListBullet"/>
        <w:spacing w:after="40"/>
        <w:ind w:left="425"/>
      </w:pPr>
      <w:r>
        <w:t>Requirement IDs follow the pattern FR-NNN (functional), NFR-NNN (non-functional), TR-NNN (technical), GAP-NNN (gap).</w:t>
      </w:r>
    </w:p>
    <w:p>
      <w:pPr>
        <w:pStyle w:val="ListBullet"/>
        <w:spacing w:after="40"/>
        <w:ind w:left="425"/>
      </w:pPr>
      <w:r>
        <w:t>Severity scale: Critical / High / Medium / Low. Definitions live in 07 — Gap Analysis §1.</w:t>
      </w:r>
    </w:p>
    <w:p>
      <w:pPr>
        <w:pStyle w:val="ListBullet"/>
        <w:spacing w:after="40"/>
        <w:ind w:left="425"/>
      </w:pPr>
      <w:r>
        <w:t>Mermaid diagrams are embedded as source. Paste into any Mermaid renderer (e.g. mermaid.live) for visual output.</w:t>
      </w:r>
    </w:p>
    <w:p>
      <w:pPr>
        <w:pStyle w:val="ListBullet"/>
        <w:spacing w:after="40"/>
        <w:ind w:left="425"/>
      </w:pPr>
      <w:r>
        <w:t>All financial amounts are illustrative and use INR (₹) unless prefixed.</w:t>
      </w:r>
    </w:p>
    <w:p>
      <w:pPr>
        <w:pStyle w:val="Heading1"/>
      </w:pPr>
      <w:r>
        <w:t>7. Source-of-Truth Hierarchy</w:t>
      </w:r>
    </w:p>
    <w:p>
      <w:pPr>
        <w:spacing w:after="120"/>
      </w:pPr>
      <w:r>
        <w:t>When two documents disagree, resolve in this order:</w:t>
      </w:r>
    </w:p>
    <w:p>
      <w:pPr>
        <w:pStyle w:val="ListNumber"/>
      </w:pPr>
      <w:r>
        <w:t>01 BRD — business intent (what the business has agreed to deliver)</w:t>
      </w:r>
    </w:p>
    <w:p>
      <w:pPr>
        <w:pStyle w:val="ListNumber"/>
      </w:pPr>
      <w:r>
        <w:t>02 TRD — architectural intent (how the system is built)</w:t>
      </w:r>
    </w:p>
    <w:p>
      <w:pPr>
        <w:pStyle w:val="ListNumber"/>
      </w:pPr>
      <w:r>
        <w:t>Source code under src/ — actual state</w:t>
      </w:r>
    </w:p>
    <w:p>
      <w:pPr>
        <w:pStyle w:val="ListNumber"/>
      </w:pPr>
      <w:r>
        <w:t>03 App Flow / 04 UI-UX / 05 Schema — derived views</w:t>
      </w:r>
    </w:p>
    <w:p>
      <w:pPr>
        <w:pStyle w:val="ListNumber"/>
      </w:pPr>
      <w:r>
        <w:t>07 Gap Analysis — registered deltas between intent and reality</w:t>
      </w:r>
    </w:p>
    <w:p>
      <w:pPr>
        <w:pStyle w:val="Heading1"/>
      </w:pPr>
      <w:r>
        <w:t>8. Open Questions for Sponsor Sign-Off</w:t>
      </w:r>
    </w:p>
    <w:p>
      <w:pPr>
        <w:spacing w:after="120"/>
      </w:pPr>
      <w:r>
        <w:t>Six business decisions must be confirmed before the Implementation Plan is locked. Each is restated in detail inside the cited document; this is a checklist for the sponsor's review session.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#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Decision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Cited in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Q1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Is single-tenant single-branch deployment acceptable for v1, or must multi-branch ship in v1?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§5.3, 07 GAP-031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Q2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Which real LLM vendor (Anthropic / OpenAI / on-prem) is approved for AI services?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§6, 07 GAP-014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Q3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Is the authentication method confirmed — OIDC / SAML / username-password / Aadhaar OTP?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§4.4, 07 GAP-001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Q4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Confirm payments scope — cash + UPI only, or include cards + insurance auto-settle?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§6.5, 07 GAP-023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Q5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Pharmacy stock — does v1 manage real warehouse stock, or only consumption tagging?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§6.6, 07 GAP-027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Q6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WhatsApp / SMS / Email channels — which are in scope for go-live notifications?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§7, 07 GAP-018</w:t>
            </w:r>
          </w:p>
        </w:tc>
      </w:tr>
    </w:tbl>
    <w:p/>
    <w:p>
      <w:pPr>
        <w:pStyle w:val="Heading1"/>
      </w:pPr>
      <w:r>
        <w:t>9. Glossary Quick-Card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Term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Meaning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NABH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National Accreditation Board for Hospitals &amp; Healthcare Providers (India)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DPDP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Digital Personal Data Protection Act, 2023 (India)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DISHA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Digital Information Security in Healthcare Act (proposed)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BMW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Bio-Medical Waste Management (CPCB rules)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CPCB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Central Pollution Control Board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RBAC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Role-Based Access Control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HITL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Human-in-the-Loop (every AI suggestion is reviewable)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RBAC matrix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src/lib/permissions.ts — 51 actions × 24 roles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MAR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Medication Administration Record (nursing)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NEWS2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National Early Warning Score 2 (clinical deterioration)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ESI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Emergency Severity Index (triage scale 1–5)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RTBF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Right To Be Forgotten (DPDP section 13)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MLC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Medico-Legal Case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CAPA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Corrective And Preventive Action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MoU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Memorandum of Understanding (vendor / hospital empanelment)</w:t>
            </w:r>
          </w:p>
        </w:tc>
      </w:tr>
    </w:tbl>
    <w:p/>
    <w:p>
      <w:pPr>
        <w:pStyle w:val="Heading1"/>
      </w:pPr>
      <w:r>
        <w:t>A.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Initial issue covering all 8 documents.</w:t>
            </w:r>
          </w:p>
        </w:tc>
      </w:tr>
    </w:tbl>
    <w:p/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C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4C8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