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02 — TRD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Technical Requirements Document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Kailash HMS — architecture, stack, contracts, security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spacing w:after="120"/>
      </w:pPr>
      <w:r>
        <w:t>Kailash HMS is a single Next.js 16 App-Router application using React 19 server / client components, Zustand for client state, and a designed-but-not-yet-built backend tier. All UI is in place against client-seeded data; the backend layer is the priority of v1.0.</w:t>
      </w:r>
    </w:p>
    <w:p>
      <w:r>
        <w:rPr>
          <w:rFonts w:ascii="Calibri" w:hAnsi="Calibri"/>
          <w:b/>
          <w:i/>
          <w:color w:val="5F6B7A"/>
          <w:sz w:val="18"/>
        </w:rPr>
        <w:t>Mermaid diagram — System landscape (target v1.0)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subgraph Client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Web[Next.js Web App&lt;br/&gt;React 19 + Zustand]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PWA[Patient Portal PWA]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subgraph Edge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LB[Reverse Proxy&lt;br/&gt;TLS termination]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subgraph App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SSR[Next.js Node server&lt;br/&gt;App Router + API routes]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Server[Domain Services&lt;br/&gt;Node/TS]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Audit[Audit Service]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AI[AI Gateway]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subgraph Data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PG[(PostgreSQL)]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Cache[(Redis)]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Blob[(Object Storage)]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Search[(Search index)]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subgraph External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LLM[LLM Vendor]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WA[WhatsApp Business API]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Pay[UPI / Payment Gateway]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Lab[Lab analyser middleware]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Pacs[(PACS / DICOM)]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    SMTP[Email / SMS]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Web --&gt;|HTTPS| LB --&gt; SSR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PWA --&gt; LB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SSR --&gt; Server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PG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Cache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Blob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Audit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AI --&gt; LLM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WA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Pay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Lab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Pacs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Server --&gt; SMTP</w:t>
              <w:br/>
            </w:r>
          </w:p>
        </w:tc>
      </w:tr>
    </w:tbl>
    <w:p/>
    <w:p>
      <w:pPr>
        <w:pStyle w:val="Heading2"/>
      </w:pPr>
      <w:r>
        <w:t>1.1 Current state vs. target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Layer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Current (repo)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Target (v1.0)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app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Next.js 16 + React 19 + Zustand, ✅ done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Client-side role-switcher, ❌ no real auth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OIDC / SSO + JWT refresh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routes (WhatsApp send/webhook)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REST + Server Actions, full coverage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Persistence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Zustand + localStorage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PostgreSQL + Redis + object store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useAuditStore (client only)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service, append-only, signed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38 stub services returning canned data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Anthropic / OpenAI / on-prem gateway, HITL preserved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Integrations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scaffolded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+ UPI + Lab + DICOM live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Multi-branch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BranchId enum, no UI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Single-branch in v1; multi-branch v2 (GAP-031)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Console logs, Puppeteer sweeps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Structured logs, metrics, traces, dashboards</w:t>
            </w:r>
          </w:p>
        </w:tc>
      </w:tr>
    </w:tbl>
    <w:p/>
    <w:p>
      <w:r>
        <w:br w:type="page"/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Concern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Choice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Rationale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framework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Next.js (App Router, Turbopack)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16.2.4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SSR/RSC + edge-friendly; matches team strength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library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19.2.4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Concurrent + server components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Language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TypeScript (strict)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5.7+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 safety end-to-end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Styling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Tailwind CSS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Tokens + utility; consistent design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State (client)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Zustand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5.0.13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Lightweight, per-domain stores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Framer Motion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12.38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Microinteractions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Charts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Recharts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3.8.1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Composable, RSC-friendly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Icons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lucide-react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1.14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Consistent, tree-shakable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Toasts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sonner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2.0.7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Accessible toast pattern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zod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4.4.3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Type-safe schemas + form &amp; API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i18n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next-intl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App-router-aware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react-hook-form + zod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Performance + type safety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E2E tests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puppeteer-core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25.0.4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Headless verification sweeps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DB (target)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PostgreSQL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ACID, JSONB, full-text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Cache / queue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Sessions, queues, rate-limiting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Object store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S3-compatible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Documents, images, exports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vendor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TBD (see Q2)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HITL preserved either way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 (target)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OIDC + JWT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SSO-ready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Module Inventory</w:t>
      </w:r>
    </w:p>
    <w:p>
      <w:pPr>
        <w:spacing w:after="120"/>
      </w:pPr>
      <w:r>
        <w:t>162 page routes, 49 Zustand stores, 73 components, 31 lib utilities, 38 AI services.</w:t>
      </w:r>
    </w:p>
    <w:p>
      <w:pPr>
        <w:pStyle w:val="Heading2"/>
      </w:pPr>
      <w:r>
        <w:t>3.1 Page routes by role (representative)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Headline pages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/admin/dashboard, /admin/roster, /admin/coverage, /admin/finance, /admin/compliance, /admin/disha, /admin/statutory, /admin/payroll, /admin/vendors, /admin/credentials, /admin/duty, /admin/ai-performance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/doctor/dashboard, /doctor/opd/[id], /doctor/ipd, /doctor/online, /doctor/activity, /doctor/settings, /doctor/copilot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/nurse/dashboard, /nurse/rounds, /nurse/mar, /nurse/handover, /nurse/escalation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/pharmacy/queue, /pharmacy/dispense, /pharmacy/inventory, /pharmacy/narcotics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/lab/dashboard, /lab/bench/[k], /lab/qc, /lab/micro, /lab/reflex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Radiology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/radiology/dashboard, /radiology/inbox, /radiology/reading, /radiology/studies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Emergency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/emergency/dashboard, /emergency/triage, /emergency/floor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/reception/dashboard, /reception/queue, /reception/walk-in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Mgmt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/admission/dashboard, /admission/requests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/discharge/dashboard, /discharge/clearance/[id]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/billing/dashboard, /billing/bills, /billing/refund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/insurance/dashboard, /insurance/claims, /insurance/preauth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/ot/dashboard, /ot/checklist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/audit/dashboard, /audit/trail, /audit/nabh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Quality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/quality/dashboard, /quality/incidents, /quality/capa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Support roles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/bloodbank, /cssd, /dietary, /bmw, /mortuary, /ambulance, /housekeeping, /inventory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/patient/dashboard, /patient/lab, /patient/radiology, /patient/ipd, /patient/discharge, /patient/feedback, /patient/family-track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Top-level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Misc.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/, /login, /checkin (kiosk), /api/whatsapp/*</w:t>
            </w:r>
          </w:p>
        </w:tc>
      </w:tr>
    </w:tbl>
    <w:p/>
    <w:p>
      <w:pPr>
        <w:pStyle w:val="Heading2"/>
      </w:pPr>
      <w:r>
        <w:t>3.2 Zustand stores (49)</w:t>
      </w:r>
    </w:p>
    <w:p>
      <w:pPr>
        <w:spacing w:after="120"/>
      </w:pPr>
      <w:r>
        <w:t>All under src/store/. One store per domain. Eleven are persisted to localStorage via skipHydration + StoreHydrator.</w:t>
      </w:r>
    </w:p>
    <w:p>
      <w:r>
        <w:rPr>
          <w:rFonts w:ascii="Calibri" w:hAnsi="Calibri"/>
          <w:b/>
          <w:i/>
          <w:color w:val="5F6B7A"/>
          <w:sz w:val="18"/>
        </w:rPr>
        <w:t>src/store/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useAdmissionStore  useAmbulanceStore  useAssistantStore*  useAuditStore     useAuthStore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useBMWStore        useBillingStore    useBloodBankStore   useCSSDStore      useCameraStore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useConsultationStore useDietaryStore  useDischargeStore   useDoctorProfileStore*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useDoctorStatsStore useDrugMasterStore useERStore         useEmergencyStore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useFeedbackStore   useFollowupStore   useHRStore*         useHousekeepingStore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useInpatientStore* useInsuranceStore  useInventoryStore   useJourneyStore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useLabOrdersStore  useLabQCStore      useLabStore         useMessagingStore*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useMortuaryStore   useNarcoticsStore  useNotificationStore* useNursingStore*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useOTStore         usePatientLiveStore usePatientOrdersStore usePatientProfileStore*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usePatientStore    usePharmacyInventoryStore  usePharmacyStore  useQualityStore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useRadiologyStore  useRadiologyStudiesStore  useShiftStore*  useStatutoryStore*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useVendorStore*    useWardStore       useWhatsAppStore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* = persisted via persist({ skipHydration: true }) + StoreHydrator rehydrate()</w:t>
              <w:br/>
            </w:r>
          </w:p>
        </w:tc>
      </w:tr>
    </w:tbl>
    <w:p/>
    <w:p>
      <w:pPr>
        <w:pStyle w:val="Heading2"/>
      </w:pPr>
      <w:r>
        <w:t>3.3 Utility libraries (src/lib/)</w:t>
      </w:r>
    </w:p>
    <w:p>
      <w:r>
        <w:rPr>
          <w:rFonts w:ascii="Calibri" w:hAnsi="Calibri"/>
          <w:b/>
          <w:i/>
          <w:color w:val="5F6B7A"/>
          <w:sz w:val="18"/>
        </w:rPr>
        <w:t>src/lib/ — 31 pure utilities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ai-helpers          copilotLLM          copilotTools        doctorCopilot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drugSafety          earlyWarning        erClinical          escalation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fluids              handover            intake              ipdFormat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labCatalog          mar                 nabhEvidence        nursing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opd                 orders              patientProfile      permissions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printDoc            radiologyCatalog    reflexRules         resultsInbox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shiftConflicts      triage              useCoverageWatcher  useWard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utils               vitals              voiceScribe</w:t>
              <w:br/>
            </w:r>
          </w:p>
        </w:tc>
      </w:tr>
    </w:tbl>
    <w:p/>
    <w:p>
      <w:pPr>
        <w:pStyle w:val="Heading2"/>
      </w:pPr>
      <w:r>
        <w:t>3.4 AI services (src/ai-services/) — 38 stubs</w:t>
      </w:r>
    </w:p>
    <w:p>
      <w:r>
        <w:rPr>
          <w:rFonts w:ascii="Calibri" w:hAnsi="Calibri"/>
          <w:b/>
          <w:i/>
          <w:color w:val="5F6B7A"/>
          <w:sz w:val="18"/>
        </w:rPr>
        <w:t>src/ai-services/ — every service returns the HITL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appointment-optimize  bed-forecast       billing-suggest         blood-demand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clinical-protocol     copilot-orchestrator  cssd-priority         detect-flow-bottlenecks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diagnosis             diet-plan          discharge-summary       documentation-engine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draft-claim-justification  drug-interaction  fraud-detect          generate-patient-education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handover-brief        insurance-preauth  lab-anomaly             mortality-risk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nlp-search            ot-briefing        ot-checklist            ot-surgical-requisition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patient-summary       pre-brief          prescription            quality-intelligence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radiology-report      readmission-risk   reflex-test             sepsis-alert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suggest-capa          suggest-recall-cohorts  supply-predict     triage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voice-intake          whatsapp-assistant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B86E00"/>
                <w:sz w:val="22"/>
              </w:rPr>
              <w:t xml:space="preserve">Honest gap: </w:t>
            </w:r>
            <w:r>
              <w:rPr>
                <w:rFonts w:ascii="Calibri" w:hAnsi="Calibri"/>
                <w:b w:val="0"/>
                <w:i w:val="0"/>
                <w:sz w:val="22"/>
              </w:rPr>
              <w:t>All 38 services are stubs returning canned data. v1.0 wires a real LLM via src/ai-services/_gateway.ts. See GAP-014.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 Flow</w:t>
      </w:r>
    </w:p>
    <w:p>
      <w:pPr>
        <w:pStyle w:val="Heading2"/>
      </w:pPr>
      <w:r>
        <w:t>4.1 State management pattern</w:t>
      </w:r>
    </w:p>
    <w:p>
      <w:pPr>
        <w:spacing w:after="120"/>
      </w:pPr>
      <w:r>
        <w:t>Zustand domain-scoped stores. Cross-store side effects use the imperative form to avoid import cycles:</w:t>
      </w:r>
    </w:p>
    <w:p>
      <w:r>
        <w:rPr>
          <w:rFonts w:ascii="Calibri" w:hAnsi="Calibri"/>
          <w:b/>
          <w:i/>
          <w:color w:val="5F6B7A"/>
          <w:sz w:val="18"/>
        </w:rPr>
        <w:t>Cross-store side effect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// In useFooStore.ts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import { useBarStore } from './useBarStore'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doSomething: () =&gt; {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set({ foo: 'updated' })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// one-way side effect into another store, no static import cycle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useBarStore.getState().notifyFooChanged(get().foo)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useAuditStore.getState().log({ action: 'foo.update', module: 'foo' })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}</w:t>
              <w:br/>
            </w:r>
          </w:p>
        </w:tc>
      </w:tr>
    </w:tbl>
    <w:p/>
    <w:p>
      <w:pPr>
        <w:pStyle w:val="Heading2"/>
      </w:pPr>
      <w:r>
        <w:t>4.2 Hydration pattern (SSR-safe persistence)</w:t>
      </w:r>
    </w:p>
    <w:p>
      <w:pPr>
        <w:spacing w:after="120"/>
      </w:pPr>
      <w:r>
        <w:t>Persisted stores use skipHydration: true so the server render and the initial client render share identical markup. After mount, src/components/StoreHydrator.tsx calls useXStore.persist.rehydrate() to load from localStorage. This eliminates hydration mismatches caused by client-only state.</w:t>
      </w:r>
    </w:p>
    <w:p>
      <w:pPr>
        <w:pStyle w:val="Heading2"/>
      </w:pPr>
      <w:r>
        <w:t>4.3 Audit pattern</w:t>
      </w:r>
    </w:p>
    <w:p>
      <w:pPr>
        <w:spacing w:after="120"/>
      </w:pPr>
      <w:r>
        <w:t>Every mutation emits to useAuditStore.log({...}). Typed action codes (37 today) map to modules (24) and NABH chapters (9). See src/lib/nabhEvidence.ts.</w:t>
      </w:r>
    </w:p>
    <w:p>
      <w:r>
        <w:rPr>
          <w:rFonts w:ascii="Calibri" w:hAnsi="Calibri"/>
          <w:b/>
          <w:i/>
          <w:color w:val="5F6B7A"/>
          <w:sz w:val="18"/>
        </w:rPr>
        <w:t>Audit emit shape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useAuditStore.getState().log({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action: 'prescription.signed',   // typed action code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module: 'doctor',                 // 24-module enum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actorId: currentUser.id,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role: 'doctor',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patientId: patient.id,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meta: { rxId, drugs: rx.lines.map(l =&gt; l.drugName) },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evidence: { nabhChapter: 'COP' }, // optional, populates evidence stream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})</w:t>
              <w:br/>
            </w:r>
          </w:p>
        </w:tc>
      </w:tr>
    </w:tbl>
    <w:p/>
    <w:p>
      <w:pPr>
        <w:pStyle w:val="Heading2"/>
      </w:pPr>
      <w:r>
        <w:t>4.4 AI HITL envelope</w:t>
      </w:r>
    </w:p>
    <w:p>
      <w:r>
        <w:rPr>
          <w:rFonts w:ascii="Calibri" w:hAnsi="Calibri"/>
          <w:b/>
          <w:i/>
          <w:color w:val="5F6B7A"/>
          <w:sz w:val="18"/>
        </w:rPr>
        <w:t>HITL envelope — src/ai-services/*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// Every AI service returns: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type AiEnvelope&lt;T&gt; = {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data: 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confidence: number       // 0..1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reasoning: string        // human-readable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model: { name: string; version: string 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alternates?: T[]         // optional, picked from on reject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// UI never auto-applies. User flow: review → accept | reject | modify → emit audit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5. API Contracts</w:t>
      </w:r>
    </w:p>
    <w:p>
      <w:pPr>
        <w:spacing w:after="120"/>
      </w:pPr>
      <w:r>
        <w:t>Today only two REST routes exist; the rest of the system runs against client state. v1.0 introduces a full API surface organised by domain. Conventions:</w:t>
      </w:r>
    </w:p>
    <w:p>
      <w:pPr>
        <w:pStyle w:val="ListBullet"/>
        <w:spacing w:after="40"/>
        <w:ind w:left="425"/>
      </w:pPr>
      <w:r>
        <w:t>RESTful by default; Server Actions for safe form submissions.</w:t>
      </w:r>
    </w:p>
    <w:p>
      <w:pPr>
        <w:pStyle w:val="ListBullet"/>
        <w:spacing w:after="40"/>
        <w:ind w:left="425"/>
      </w:pPr>
      <w:r>
        <w:t>Resource URIs are plural nouns; identifiers are opaque ULIDs.</w:t>
      </w:r>
    </w:p>
    <w:p>
      <w:pPr>
        <w:pStyle w:val="ListBullet"/>
        <w:spacing w:after="40"/>
        <w:ind w:left="425"/>
      </w:pPr>
      <w:r>
        <w:t>JSON only. Request and response bodies are zod-validated end-to-end.</w:t>
      </w:r>
    </w:p>
    <w:p>
      <w:pPr>
        <w:pStyle w:val="ListBullet"/>
        <w:spacing w:after="40"/>
        <w:ind w:left="425"/>
      </w:pPr>
      <w:r>
        <w:t>All write endpoints require Idempotency-Key header.</w:t>
      </w:r>
    </w:p>
    <w:p>
      <w:pPr>
        <w:pStyle w:val="ListBullet"/>
        <w:spacing w:after="40"/>
        <w:ind w:left="425"/>
      </w:pPr>
      <w:r>
        <w:t>Pagination via cursor (?after=…&amp;limit=…); never offset for unbounded queries.</w:t>
      </w:r>
    </w:p>
    <w:p>
      <w:pPr>
        <w:pStyle w:val="ListBullet"/>
        <w:spacing w:after="40"/>
        <w:ind w:left="425"/>
      </w:pPr>
      <w:r>
        <w:t>Response envelope { data, meta? } on success; { error: { code, message } } on failure.</w:t>
      </w:r>
    </w:p>
    <w:p>
      <w:pPr>
        <w:pStyle w:val="Heading2"/>
      </w:pPr>
      <w:r>
        <w:t>5.1 Endpoint plan (v1.0 target)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Group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Routes (illustrative)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/api/auth/login, POST /api/auth/refresh, POST /api/auth/logout, GET /api/auth/me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Patients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GET/POST /api/patients, GET/PATCH /api/patients/:id, GET /api/patients/:id/visits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Visits &amp; OPD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/api/visits, GET /api/visits/:id, POST /api/visits/:id/queue-action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/api/ipd/admissions, PATCH /api/ipd/admissions/:id, GET /api/ipd/:id/chart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Prescriptions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/api/prescriptions (drug-safety pre-check), PATCH /api/prescriptions/:id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Orders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/api/orders (lab, rad, drug, procedure), GET /api/orders/:id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PATCH /api/lab/orders/:id (route/bench/QC/verify), GET /api/lab/results/:id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/api/pharmacy/queue, POST /api/pharmacy/dispense, POST /api/pharmacy/narcotics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/api/bills, PATCH /api/bills/:id, POST /api/payments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/api/insurance/preauth, POST /api/insurance/claims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/api/audit?module=&amp;role=&amp;patientId=&amp;from=&amp;to= (cursor pagination)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/api/admin/finance, GET /api/admin/coverage, GET /api/admin/compliance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/api/disha/consent, POST /api/disha/rtbf, POST /api/disha/breach-attest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/api/ai/:service (gateway → vendor + HITL emit)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/api/whatsapp/send (live), POST /api/whatsapp/webhook (live)</w:t>
            </w:r>
          </w:p>
        </w:tc>
      </w:tr>
    </w:tbl>
    <w:p/>
    <w:p>
      <w:r>
        <w:br w:type="page"/>
      </w:r>
    </w:p>
    <w:p>
      <w:pPr>
        <w:pStyle w:val="Heading1"/>
      </w:pPr>
      <w:r>
        <w:t>6. AI Service Gateway</w:t>
      </w:r>
    </w:p>
    <w:p>
      <w:pPr>
        <w:spacing w:after="120"/>
      </w:pPr>
      <w:r>
        <w:t>AI services run client-only stubs today. v1.0 routes every call through src/ai-services/_gateway.ts which:</w:t>
      </w:r>
    </w:p>
    <w:p>
      <w:pPr>
        <w:pStyle w:val="ListBullet"/>
        <w:spacing w:after="40"/>
        <w:ind w:left="425"/>
      </w:pPr>
      <w:r>
        <w:t>Resolves vendor + model from server config (see TR-014).</w:t>
      </w:r>
    </w:p>
    <w:p>
      <w:pPr>
        <w:pStyle w:val="ListBullet"/>
        <w:spacing w:after="40"/>
        <w:ind w:left="425"/>
      </w:pPr>
      <w:r>
        <w:t>Applies rate-limits and per-role budgets.</w:t>
      </w:r>
    </w:p>
    <w:p>
      <w:pPr>
        <w:pStyle w:val="ListBullet"/>
        <w:spacing w:after="40"/>
        <w:ind w:left="425"/>
      </w:pPr>
      <w:r>
        <w:t>Persists the prompt, response, model name, confidence to a log table for evidence.</w:t>
      </w:r>
    </w:p>
    <w:p>
      <w:pPr>
        <w:pStyle w:val="ListBullet"/>
        <w:spacing w:after="40"/>
        <w:ind w:left="425"/>
      </w:pPr>
      <w:r>
        <w:t>Emits an audit event ai.suggestion.created.</w:t>
      </w:r>
    </w:p>
    <w:p>
      <w:pPr>
        <w:pStyle w:val="ListBullet"/>
        <w:spacing w:after="40"/>
        <w:ind w:left="425"/>
      </w:pPr>
      <w:r>
        <w:t>Returns the standard envelope; the UI accept / reject / modify flow remains identical.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298AC8"/>
                <w:sz w:val="22"/>
              </w:rPr>
              <w:t xml:space="preserve">Constraint: </w:t>
            </w:r>
            <w:r>
              <w:rPr>
                <w:rFonts w:ascii="Calibri" w:hAnsi="Calibri"/>
                <w:b w:val="0"/>
                <w:i w:val="0"/>
                <w:sz w:val="22"/>
              </w:rPr>
              <w:t>Clinical advice services (drug-safety, NEWS2, sepsis, triage) MUST stay deterministic. LLMs may pre-summarise but the final block / alert is computed in code, never the model.</w:t>
            </w:r>
          </w:p>
        </w:tc>
      </w:tr>
    </w:tbl>
    <w:p/>
    <w:p>
      <w:pPr>
        <w:pStyle w:val="Heading1"/>
      </w:pPr>
      <w:r>
        <w:t>7.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System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Direction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Protocol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Business API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 + In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HTTPS webhook + REST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Routes scaffolded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UPI / Payments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REST + redirect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Spec only (GAP-024)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Aadhaar / DigiLocker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OAuth + REST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Spec only (GAP-002)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analyser bridge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HL7 v2 / ASTM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 of v1 — manual entry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PACS / DICOM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 (link)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URI launch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Read-only viewer link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/ SMS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SMTP / vendor REST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Spec only (GAP-018)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 vendor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REST (Anthropic/OpenAI)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Pending vendor decision (Q2)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Tally / SAP (Finance)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CSV / Excel export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export only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HRMS payroll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CSV export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Display only in 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Govt portals (GST/PF)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/ portal upload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Reminder + file action only</w:t>
            </w:r>
          </w:p>
        </w:tc>
      </w:tr>
    </w:tbl>
    <w:p/>
    <w:p>
      <w:r>
        <w:br w:type="page"/>
      </w:r>
    </w:p>
    <w:p>
      <w:pPr>
        <w:pStyle w:val="Heading1"/>
      </w:pPr>
      <w:r>
        <w:t>8. Security Model</w:t>
      </w:r>
    </w:p>
    <w:p>
      <w:pPr>
        <w:pStyle w:val="Heading2"/>
      </w:pPr>
      <w:r>
        <w:t>8.1 Authentication &amp; session</w:t>
      </w:r>
    </w:p>
    <w:p>
      <w:pPr>
        <w:pStyle w:val="ListBullet"/>
        <w:spacing w:after="40"/>
        <w:ind w:left="425"/>
      </w:pPr>
      <w:r>
        <w:t>OIDC against the hospital IdP; fallback to internal username + TOTP for legacy stations.</w:t>
      </w:r>
    </w:p>
    <w:p>
      <w:pPr>
        <w:pStyle w:val="ListBullet"/>
        <w:spacing w:after="40"/>
        <w:ind w:left="425"/>
      </w:pPr>
      <w:r>
        <w:t>Access token (JWT) 15 min; refresh token (rotating) 12 hours; idle session timeout 30 min.</w:t>
      </w:r>
    </w:p>
    <w:p>
      <w:pPr>
        <w:pStyle w:val="ListBullet"/>
        <w:spacing w:after="40"/>
        <w:ind w:left="425"/>
      </w:pPr>
      <w:r>
        <w:t>Sessions bound to device fingerprint + IP; soft-reuse-detection on refresh.</w:t>
      </w:r>
    </w:p>
    <w:p>
      <w:pPr>
        <w:pStyle w:val="Heading2"/>
      </w:pPr>
      <w:r>
        <w:t>8.2 Authorisation</w:t>
      </w:r>
    </w:p>
    <w:p>
      <w:pPr>
        <w:pStyle w:val="ListBullet"/>
        <w:spacing w:after="40"/>
        <w:ind w:left="425"/>
      </w:pPr>
      <w:r>
        <w:t>RBAC matrix as data (src/lib/permissions.ts) — 51 actions × 24 roles.</w:t>
      </w:r>
    </w:p>
    <w:p>
      <w:pPr>
        <w:pStyle w:val="ListBullet"/>
        <w:spacing w:after="40"/>
        <w:ind w:left="425"/>
      </w:pPr>
      <w:r>
        <w:t>UI calls canDo(role, action); API performs the same check server-side. Both audited.</w:t>
      </w:r>
    </w:p>
    <w:p>
      <w:pPr>
        <w:pStyle w:val="ListBullet"/>
        <w:spacing w:after="40"/>
        <w:ind w:left="425"/>
      </w:pPr>
      <w:r>
        <w:t>Special grants (e.g. on-call override) are time-bound and audited.</w:t>
      </w:r>
    </w:p>
    <w:p>
      <w:pPr>
        <w:pStyle w:val="Heading2"/>
      </w:pPr>
      <w:r>
        <w:t>8.3 Data protection</w:t>
      </w:r>
    </w:p>
    <w:p>
      <w:pPr>
        <w:pStyle w:val="ListBullet"/>
        <w:spacing w:after="40"/>
        <w:ind w:left="425"/>
      </w:pPr>
      <w:r>
        <w:t>At rest: AES-256 column-level for PII; transparent encryption on the DB volume.</w:t>
      </w:r>
    </w:p>
    <w:p>
      <w:pPr>
        <w:pStyle w:val="ListBullet"/>
        <w:spacing w:after="40"/>
        <w:ind w:left="425"/>
      </w:pPr>
      <w:r>
        <w:t>In transit: TLS 1.2+ everywhere; mTLS for service-to-service in cluster.</w:t>
      </w:r>
    </w:p>
    <w:p>
      <w:pPr>
        <w:pStyle w:val="ListBullet"/>
        <w:spacing w:after="40"/>
        <w:ind w:left="425"/>
      </w:pPr>
      <w:r>
        <w:t>Secrets in a managed vault; no secrets in repo (verified clean).</w:t>
      </w:r>
    </w:p>
    <w:p>
      <w:pPr>
        <w:pStyle w:val="ListBullet"/>
        <w:spacing w:after="40"/>
        <w:ind w:left="425"/>
      </w:pPr>
      <w:r>
        <w:t>Soft-delete tombstones; hard delete only via RTBF workflow.</w:t>
      </w:r>
    </w:p>
    <w:p>
      <w:pPr>
        <w:pStyle w:val="Heading2"/>
      </w:pPr>
      <w:r>
        <w:t>8.4 OWASP Top-10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Risk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Control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A01 Broken access control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Server-side canDo + per-row tenant filter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A02 Cryptographic failures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TLS + AES-256 + Argon2 password hash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A03 Injection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Parameterised queries (no string SQL); zod-validated input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A04 Insecure design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Threat model in arch review; abuse cases recorded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A05 Security misconfiguration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Hardened base images; CSP + HSTS + frame-ancestors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A06 Vulnerable components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npm audit gate in CI; lock-file commits required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A07 ID &amp; Auth failures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OIDC + refresh-token rotation + soft-reuse-detection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A08 Software &amp; data integrity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Signed builds; tamper-evident audit log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A09 Logging &amp; monitoring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Structured logs + audit DB + alert on anomalies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A10 SSRF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Outbound allow-list per service; URL fetch via vetted client</w:t>
            </w:r>
          </w:p>
        </w:tc>
      </w:tr>
    </w:tbl>
    <w:p/>
    <w:p>
      <w:pPr>
        <w:pStyle w:val="Heading2"/>
      </w:pPr>
      <w:r>
        <w:t>8.5 Audit guarantees</w:t>
      </w:r>
    </w:p>
    <w:p>
      <w:pPr>
        <w:pStyle w:val="ListBullet"/>
        <w:spacing w:after="40"/>
        <w:ind w:left="425"/>
      </w:pPr>
      <w:r>
        <w:t>Append-only audit table; periodic Merkle-root snapshots for tamper evidence.</w:t>
      </w:r>
    </w:p>
    <w:p>
      <w:pPr>
        <w:pStyle w:val="ListBullet"/>
        <w:spacing w:after="40"/>
        <w:ind w:left="425"/>
      </w:pPr>
      <w:r>
        <w:t>7-year retention by default; per-record overrides for clinical and financial.</w:t>
      </w:r>
    </w:p>
    <w:p>
      <w:pPr>
        <w:pStyle w:val="ListBullet"/>
        <w:spacing w:after="40"/>
        <w:ind w:left="425"/>
      </w:pPr>
      <w:r>
        <w:t>DPDP §13 RTBF events log the lawful basis and approver; data is tombstoned then purged.</w:t>
      </w:r>
    </w:p>
    <w:p>
      <w:r>
        <w:br w:type="page"/>
      </w:r>
    </w:p>
    <w:p>
      <w:pPr>
        <w:pStyle w:val="Heading1"/>
      </w:pPr>
      <w:r>
        <w:t>9. Performance &amp; 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Surface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p50 target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p95 target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Page load (broadband)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0.8 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2.0 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Page load (4G)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1.5 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4.0 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Click → feedback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 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200 ms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Prescription drug-safety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180 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500 ms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result lookup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120 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350 ms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trail page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180 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600 ms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suggestion (LLM)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1.2 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3.0 s</w:t>
            </w:r>
          </w:p>
        </w:tc>
      </w:tr>
    </w:tbl>
    <w:p/>
    <w:p>
      <w:pPr>
        <w:pStyle w:val="ListBullet"/>
        <w:spacing w:after="40"/>
        <w:ind w:left="425"/>
      </w:pPr>
      <w:r>
        <w:t>Scale target v1.0: 100 concurrent staff, 500 daily visits, 1000 prescriptions / day, 4000 lab tests / day.</w:t>
      </w:r>
    </w:p>
    <w:p>
      <w:pPr>
        <w:pStyle w:val="ListBullet"/>
        <w:spacing w:after="40"/>
        <w:ind w:left="425"/>
      </w:pPr>
      <w:r>
        <w:t>Horizontal scale-out by adding stateless Next.js pods behind the LB; DB vertically scaled with read-replicas.</w:t>
      </w:r>
    </w:p>
    <w:p>
      <w:pPr>
        <w:pStyle w:val="ListBullet"/>
        <w:spacing w:after="40"/>
        <w:ind w:left="425"/>
      </w:pPr>
      <w:r>
        <w:t>Hot data in Redis (queues, sessions, served-counter); cold archived to object store quarterly.</w:t>
      </w:r>
    </w:p>
    <w:p>
      <w:pPr>
        <w:pStyle w:val="Heading1"/>
      </w:pPr>
      <w:r>
        <w:t>10. Environment &amp; Deployment</w:t>
      </w:r>
    </w:p>
    <w:p>
      <w:pPr>
        <w:pStyle w:val="ListBullet"/>
        <w:spacing w:after="40"/>
        <w:ind w:left="425"/>
      </w:pPr>
      <w:r>
        <w:t>Environments: local · dev · staging · prod (and a dedicated DR replica).</w:t>
      </w:r>
    </w:p>
    <w:p>
      <w:pPr>
        <w:pStyle w:val="ListBullet"/>
        <w:spacing w:after="40"/>
        <w:ind w:left="425"/>
      </w:pPr>
      <w:r>
        <w:t>CI: typecheck → lint → unit tests → e2e Puppeteer sweep → build → image push.</w:t>
      </w:r>
    </w:p>
    <w:p>
      <w:pPr>
        <w:pStyle w:val="ListBullet"/>
        <w:spacing w:after="40"/>
        <w:ind w:left="425"/>
      </w:pPr>
      <w:r>
        <w:t>CD: blue/green to prod; automatic rollback on red probes.</w:t>
      </w:r>
    </w:p>
    <w:p>
      <w:pPr>
        <w:pStyle w:val="ListBullet"/>
        <w:spacing w:after="40"/>
        <w:ind w:left="425"/>
      </w:pPr>
      <w:r>
        <w:t>Containers: distroless Node image; non-root user; read-only FS for app code.</w:t>
      </w:r>
    </w:p>
    <w:p>
      <w:pPr>
        <w:pStyle w:val="ListBullet"/>
        <w:spacing w:after="40"/>
        <w:ind w:left="425"/>
      </w:pPr>
      <w:r>
        <w:t>Secrets via vault; configuration via 12-factor env vars.</w:t>
      </w:r>
    </w:p>
    <w:p>
      <w:pPr>
        <w:pStyle w:val="ListBullet"/>
        <w:spacing w:after="40"/>
        <w:ind w:left="425"/>
      </w:pPr>
      <w:r>
        <w:t>Backups nightly to off-site; PITR window 24 h; restore drill quarterly.</w:t>
      </w:r>
    </w:p>
    <w:p>
      <w:pPr>
        <w:pStyle w:val="Heading1"/>
      </w:pPr>
      <w:r>
        <w:t>11. Observability</w:t>
      </w:r>
    </w:p>
    <w:p>
      <w:pPr>
        <w:pStyle w:val="ListBullet"/>
        <w:spacing w:after="40"/>
        <w:ind w:left="425"/>
      </w:pPr>
      <w:r>
        <w:t>Structured JSON logs with request ID, actor ID, role, route.</w:t>
      </w:r>
    </w:p>
    <w:p>
      <w:pPr>
        <w:pStyle w:val="ListBullet"/>
        <w:spacing w:after="40"/>
        <w:ind w:left="425"/>
      </w:pPr>
      <w:r>
        <w:t>Metrics: latency / errors / saturation per route; clinical SLOs (Rx round-trip, lab QC pass-rate).</w:t>
      </w:r>
    </w:p>
    <w:p>
      <w:pPr>
        <w:pStyle w:val="ListBullet"/>
        <w:spacing w:after="40"/>
        <w:ind w:left="425"/>
      </w:pPr>
      <w:r>
        <w:t>Tracing across SSR → API → DB on every request.</w:t>
      </w:r>
    </w:p>
    <w:p>
      <w:pPr>
        <w:pStyle w:val="ListBullet"/>
        <w:spacing w:after="40"/>
        <w:ind w:left="425"/>
      </w:pPr>
      <w:r>
        <w:t>Alerts: pager on 5xx &gt; 1 %, audit-emit failure, AI-vendor 5xx, payment-gateway 5xx, latency p95 breach.</w:t>
      </w:r>
    </w:p>
    <w:p>
      <w:pPr>
        <w:pStyle w:val="Heading1"/>
      </w:pPr>
      <w:r>
        <w:t>12. Coding Standards (from AGENTS.md)</w:t>
      </w:r>
    </w:p>
    <w:p>
      <w:pPr>
        <w:pStyle w:val="ListBullet"/>
        <w:spacing w:after="40"/>
        <w:ind w:left="425"/>
      </w:pPr>
      <w:r>
        <w:t>TypeScript strict. No any escape hatches.</w:t>
      </w:r>
    </w:p>
    <w:p>
      <w:pPr>
        <w:pStyle w:val="ListBullet"/>
        <w:spacing w:after="40"/>
        <w:ind w:left="425"/>
      </w:pPr>
      <w:r>
        <w:t>Audit everything — every mutation emits with a typed action code.</w:t>
      </w:r>
    </w:p>
    <w:p>
      <w:pPr>
        <w:pStyle w:val="ListBullet"/>
        <w:spacing w:after="40"/>
        <w:ind w:left="425"/>
      </w:pPr>
      <w:r>
        <w:t>Stores are domain-scoped — useHRStore, useVendorStore, etc.</w:t>
      </w:r>
    </w:p>
    <w:p>
      <w:pPr>
        <w:pStyle w:val="ListBullet"/>
        <w:spacing w:after="40"/>
        <w:ind w:left="425"/>
      </w:pPr>
      <w:r>
        <w:t>Persisted stores use skipHydration; rehydrate post-mount via StoreHydrator.</w:t>
      </w:r>
    </w:p>
    <w:p>
      <w:pPr>
        <w:pStyle w:val="ListBullet"/>
        <w:spacing w:after="40"/>
        <w:ind w:left="425"/>
      </w:pPr>
      <w:r>
        <w:t>Permissions as data — call canDo(role, action) instead of hard-coding role checks.</w:t>
      </w:r>
    </w:p>
    <w:p>
      <w:pPr>
        <w:pStyle w:val="ListBullet"/>
        <w:spacing w:after="40"/>
        <w:ind w:left="425"/>
      </w:pPr>
      <w:r>
        <w:t>AI envelopes — { data, confidence, reasoning, model } with accept / reject / modify.</w:t>
      </w:r>
    </w:p>
    <w:p>
      <w:pPr>
        <w:pStyle w:val="ListBullet"/>
        <w:spacing w:after="40"/>
        <w:ind w:left="425"/>
      </w:pPr>
      <w:r>
        <w:t>Cross-store side effects — one-way via useOtherStore.getState().action(). No static import cycles.</w:t>
      </w:r>
    </w:p>
    <w:p>
      <w:pPr>
        <w:pStyle w:val="ListBullet"/>
        <w:spacing w:after="40"/>
        <w:ind w:left="425"/>
      </w:pPr>
      <w:r>
        <w:t>Verify UI visually — screenshot the actual pages, do not claim done on a clean build alone.</w:t>
      </w:r>
    </w:p>
    <w:p>
      <w:pPr>
        <w:pStyle w:val="ListBullet"/>
        <w:spacing w:after="40"/>
        <w:ind w:left="425"/>
      </w:pPr>
      <w:r>
        <w:t>Conventions are checked into AGENTS.md and tested via Puppeteer sweeps.</w:t>
      </w:r>
    </w:p>
    <w:p>
      <w:pPr>
        <w:pStyle w:val="Heading1"/>
      </w:pPr>
      <w:r>
        <w:t>13. Technical Requirements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Requirement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TR-001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API write endpoints require Idempotency-Key header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TR-002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DB writes audited via outbox table; never via DB triggers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TR-003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cross-service calls carry x-request-id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TR-004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PII columns column-encrypted; key rotated annually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TR-005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Tenant filter applied to every read in multi-branch mode (v2)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TR-006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Append-only audit table with daily Merkle-root attestation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TR-007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Service-to-service mTLS in the cluster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TR-008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CSP, HSTS, Referrer-Policy, Permissions-Policy headers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TR-009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console.log in production code — pino/winston only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TR-010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 Actions used only for safe forms; everything else REST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TR-011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Per-tenant rate-limits enforced at edge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TR-012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Backup restore drill executed quarterly; success recorded as evidence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TR-013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Vault is the only source of truth for secrets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TR-014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vendor + model configurable per service in admin UI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TR-015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 flags via a simple kv table; rollouts auditable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issue grounded in repo state on 2026-06-01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