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B1D6B"/>
          <w:sz w:val="48"/>
          <w:szCs w:val="48"/>
        </w:rPr>
        <w:t xml:space="preserve">Business Insights Report</w:t>
      </w:r>
    </w:p>
    <w:p>
      <w:pPr>
        <w:spacing w:after="60"/>
      </w:pPr>
      <w:r>
        <w:rPr>
          <w:rFonts w:ascii="Calibri" w:cs="Calibri" w:eastAsia="Calibri" w:hAnsi="Calibri"/>
          <w:color w:val="595959"/>
          <w:sz w:val="26"/>
          <w:szCs w:val="26"/>
        </w:rPr>
        <w:t xml:space="preserve">Sales performance, profitability and budget review</w:t>
      </w:r>
    </w:p>
    <w:p>
      <w:pPr>
        <w:pBdr>
          <w:bottom w:val="single" w:color="D9D0E3" w:sz="6" w:space="6"/>
        </w:pBdr>
        <w:spacing w:after="200"/>
      </w:pPr>
      <w:r>
        <w:rPr>
          <w:rFonts w:ascii="Calibri" w:cs="Calibri" w:eastAsia="Calibri" w:hAnsi="Calibri"/>
          <w:color w:val="595959"/>
          <w:sz w:val="20"/>
          <w:szCs w:val="20"/>
        </w:rPr>
        <w:t xml:space="preserve">Period covered: 1 January 2021 to 15 March 2023  |  All amounts in ₹</w:t>
      </w:r>
    </w:p>
    <w:p>
      <w:pPr>
        <w:pStyle w:val="Heading1"/>
        <w:keepNext/>
        <w:spacing w:after="120" w:before="280"/>
      </w:pPr>
      <w:r>
        <w:rPr>
          <w:rFonts w:ascii="Calibri" w:cs="Calibri" w:eastAsia="Calibri" w:hAnsi="Calibri"/>
          <w:b/>
          <w:bCs/>
          <w:color w:val="4B1D6B"/>
          <w:sz w:val="30"/>
          <w:szCs w:val="30"/>
        </w:rPr>
        <w:t xml:space="preserve">1. The answer in brief</w:t>
      </w:r>
    </w:p>
    <w:p>
      <w:pPr>
        <w:spacing w:after="100" w:line="276"/>
      </w:pPr>
      <w:r>
        <w:rPr>
          <w:rFonts w:ascii="Calibri" w:cs="Calibri" w:eastAsia="Calibri" w:hAnsi="Calibri"/>
          <w:sz w:val="21"/>
          <w:szCs w:val="21"/>
        </w:rPr>
        <w:t xml:space="preserve">The business is profitable, diversified and stable, but it is not growing, and its budget is too weak to be used as a control. Revenue is ₹25.66M at a 32.5% gross margin. Sales are spread thinly across 801 customers, 74 locations, 45 salespeople and 101 products, so no single loss would hurt. The opportunities sit in the largest cities, where sales per resident are very low, and in the margin on a handful of best-selling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Measure</w:t>
            </w:r>
          </w:p>
        </w:tc>
        <w:tc>
          <w:tcPr>
            <w:tcW w:type="dxa" w:w="1500"/>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Value</w:t>
            </w:r>
          </w:p>
        </w:tc>
        <w:tc>
          <w:tcPr>
            <w:tcW w:type="dxa" w:w="4838"/>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Comment</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Revenue (1 Jan 2021 – 15 Mar 2023)</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₹25.66M</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10,889 orders, 21,078 units</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Gross profit</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₹8.34M</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Sales minus product cost; taxes not deducted</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Gross margin</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32.5%</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About 32.5% in each year</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Average order value</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₹2,357</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Average selling price ₹1,217 per unit</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Growth, 2022 vs 2021</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−1.1%</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₹11.57M vs ₹11.69M; 2023 covers only 2.5 months</w:t>
            </w:r>
          </w:p>
        </w:tc>
      </w:tr>
      <w:tr>
        <w:tc>
          <w:tcPr>
            <w:tcW w:type="dxa" w:w="33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Budget achievement</w:t>
            </w:r>
          </w:p>
        </w:tc>
        <w:tc>
          <w:tcPr>
            <w:tcW w:type="dxa" w:w="15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366.8%</w:t>
            </w:r>
          </w:p>
        </w:tc>
        <w:tc>
          <w:tcPr>
            <w:tcW w:type="dxa" w:w="483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₹25.66M actual vs ₹7.00M budget for the same months</w:t>
            </w:r>
          </w:p>
        </w:tc>
      </w:tr>
    </w:tbl>
    <w:p>
      <w:pPr>
        <w:pStyle w:val="Heading1"/>
        <w:keepNext/>
        <w:spacing w:after="120" w:before="280"/>
      </w:pPr>
      <w:r>
        <w:rPr>
          <w:rFonts w:ascii="Calibri" w:cs="Calibri" w:eastAsia="Calibri" w:hAnsi="Calibri"/>
          <w:b/>
          <w:bCs/>
          <w:color w:val="4B1D6B"/>
          <w:sz w:val="30"/>
          <w:szCs w:val="30"/>
        </w:rPr>
        <w:t xml:space="preserve">2. Top 5 findings</w:t>
      </w:r>
    </w:p>
    <w:p>
      <w:pPr>
        <w:pStyle w:val="ListParagraph"/>
        <w:numPr>
          <w:ilvl w:val="0"/>
          <w:numId w:val="2"/>
        </w:numPr>
        <w:spacing w:after="110" w:line="276"/>
      </w:pPr>
      <w:r>
        <w:rPr>
          <w:rFonts w:ascii="Calibri" w:cs="Calibri" w:eastAsia="Calibri" w:hAnsi="Calibri"/>
          <w:b/>
          <w:bCs/>
          <w:sz w:val="21"/>
          <w:szCs w:val="21"/>
        </w:rPr>
        <w:t xml:space="preserve">Profitable and stable, but flat. </w:t>
      </w:r>
      <w:r>
        <w:rPr>
          <w:rFonts w:ascii="Calibri" w:cs="Calibri" w:eastAsia="Calibri" w:hAnsi="Calibri"/>
          <w:sz w:val="21"/>
          <w:szCs w:val="21"/>
        </w:rPr>
        <w:t xml:space="preserve">Revenue was ₹11.69M in 2021 and ₹11.57M in 2022 (−1.1%), with orders down 1.4% (4,980 to 4,909). The data stops on 15 March 2023. Over the same 1 Jan–15 Mar window, 2023 is 3.7% above 2022 but 2.7% below 2021.</w:t>
      </w:r>
    </w:p>
    <w:p>
      <w:pPr>
        <w:pStyle w:val="ListParagraph"/>
        <w:numPr>
          <w:ilvl w:val="0"/>
          <w:numId w:val="2"/>
        </w:numPr>
        <w:spacing w:after="110" w:line="276"/>
      </w:pPr>
      <w:r>
        <w:rPr>
          <w:rFonts w:ascii="Calibri" w:cs="Calibri" w:eastAsia="Calibri" w:hAnsi="Calibri"/>
          <w:b/>
          <w:bCs/>
          <w:sz w:val="21"/>
          <w:szCs w:val="21"/>
        </w:rPr>
        <w:t xml:space="preserve">Performance is remarkably even. </w:t>
      </w:r>
      <w:r>
        <w:rPr>
          <w:rFonts w:ascii="Calibri" w:cs="Calibri" w:eastAsia="Calibri" w:hAnsi="Calibri"/>
          <w:sz w:val="21"/>
          <w:szCs w:val="21"/>
        </w:rPr>
        <w:t xml:space="preserve">Sales for each calendar month, pooled over 2021–22, stay between ₹1.81M and ₹2.07M, and quarters differ by only 7% (Q4 best at ₹6.00M, Q3 weakest at ₹5.60M). Every location sells between ₹277K and ₹466K and every salesperson between ₹436K and ₹679K. The only clearly weak month is May 2022 (₹0.87M); the biggest single days are isolated spikes (20 Jun 2021, ₹83.7K, against a daily average of ₹31.9K).</w:t>
      </w:r>
    </w:p>
    <w:p>
      <w:pPr>
        <w:pStyle w:val="ListParagraph"/>
        <w:numPr>
          <w:ilvl w:val="0"/>
          <w:numId w:val="2"/>
        </w:numPr>
        <w:spacing w:after="110" w:line="276"/>
      </w:pPr>
      <w:r>
        <w:rPr>
          <w:rFonts w:ascii="Calibri" w:cs="Calibri" w:eastAsia="Calibri" w:hAnsi="Calibri"/>
          <w:b/>
          <w:bCs/>
          <w:sz w:val="21"/>
          <w:szCs w:val="21"/>
        </w:rPr>
        <w:t xml:space="preserve">Revenue has no concentration risk. </w:t>
      </w:r>
      <w:r>
        <w:rPr>
          <w:rFonts w:ascii="Calibri" w:cs="Calibri" w:eastAsia="Calibri" w:hAnsi="Calibri"/>
          <w:sz w:val="21"/>
          <w:szCs w:val="21"/>
        </w:rPr>
        <w:t xml:space="preserve">The largest customer is 0.27% of sales and the top 10 are 2.6%; 545 of 801 customers are needed to reach 80% of revenue. The top 10 products are 20.5% of revenue, and 56 of 101 products make up 80%. Every customer has ordered 5 to 27 times.</w:t>
      </w:r>
    </w:p>
    <w:p>
      <w:pPr>
        <w:pStyle w:val="ListParagraph"/>
        <w:numPr>
          <w:ilvl w:val="0"/>
          <w:numId w:val="2"/>
        </w:numPr>
        <w:spacing w:after="110" w:line="276"/>
      </w:pPr>
      <w:r>
        <w:rPr>
          <w:rFonts w:ascii="Calibri" w:cs="Calibri" w:eastAsia="Calibri" w:hAnsi="Calibri"/>
          <w:b/>
          <w:bCs/>
          <w:sz w:val="21"/>
          <w:szCs w:val="21"/>
        </w:rPr>
        <w:t xml:space="preserve">Margin depends on the product mix. </w:t>
      </w:r>
      <w:r>
        <w:rPr>
          <w:rFonts w:ascii="Calibri" w:cs="Calibri" w:eastAsia="Calibri" w:hAnsi="Calibri"/>
          <w:sz w:val="21"/>
          <w:szCs w:val="21"/>
        </w:rPr>
        <w:t xml:space="preserve">The overall 32.5% hides a range from 15.0% (Product 4) to 50.0% (Products 41, 96 and 40). Product 28 is second in revenue and first in profit (₹248K). Fifteen products earn under 20%, and they account for ₹3.45M of revenue.</w:t>
      </w:r>
    </w:p>
    <w:p>
      <w:pPr>
        <w:pStyle w:val="ListParagraph"/>
        <w:numPr>
          <w:ilvl w:val="0"/>
          <w:numId w:val="2"/>
        </w:numPr>
        <w:spacing w:after="110" w:line="276"/>
      </w:pPr>
      <w:r>
        <w:rPr>
          <w:rFonts w:ascii="Calibri" w:cs="Calibri" w:eastAsia="Calibri" w:hAnsi="Calibri"/>
          <w:b/>
          <w:bCs/>
          <w:sz w:val="21"/>
          <w:szCs w:val="21"/>
        </w:rPr>
        <w:t xml:space="preserve">Sales run at 3.7 times budget, and the budget shape is wrong. </w:t>
      </w:r>
      <w:r>
        <w:rPr>
          <w:rFonts w:ascii="Calibri" w:cs="Calibri" w:eastAsia="Calibri" w:hAnsi="Calibri"/>
          <w:sz w:val="21"/>
          <w:szCs w:val="21"/>
        </w:rPr>
        <w:t xml:space="preserve">Achievement is 366.8% overall and every location is above 100% (166% to 756%). The budget puts 14% of the year in June and 4% each in December and January, while actual sales are a nearly flat 7.8% to 8.9% of the annual total in every month.</w:t>
      </w:r>
    </w:p>
    <w:p>
      <w:pPr>
        <w:pStyle w:val="Heading1"/>
        <w:keepNext/>
        <w:spacing w:after="120" w:before="280"/>
      </w:pPr>
      <w:r>
        <w:rPr>
          <w:rFonts w:ascii="Calibri" w:cs="Calibri" w:eastAsia="Calibri" w:hAnsi="Calibri"/>
          <w:b/>
          <w:bCs/>
          <w:color w:val="4B1D6B"/>
          <w:sz w:val="30"/>
          <w:szCs w:val="30"/>
        </w:rPr>
        <w:t xml:space="preserve">3. Top 5 business problems</w:t>
      </w:r>
    </w:p>
    <w:p>
      <w:pPr>
        <w:pStyle w:val="ListParagraph"/>
        <w:numPr>
          <w:ilvl w:val="0"/>
          <w:numId w:val="3"/>
        </w:numPr>
        <w:spacing w:after="110" w:line="276"/>
      </w:pPr>
      <w:r>
        <w:rPr>
          <w:rFonts w:ascii="Calibri" w:cs="Calibri" w:eastAsia="Calibri" w:hAnsi="Calibri"/>
          <w:b/>
          <w:bCs/>
          <w:sz w:val="21"/>
          <w:szCs w:val="21"/>
        </w:rPr>
        <w:t xml:space="preserve">No growth engine. </w:t>
      </w:r>
      <w:r>
        <w:rPr>
          <w:rFonts w:ascii="Calibri" w:cs="Calibri" w:eastAsia="Calibri" w:hAnsi="Calibri"/>
          <w:sz w:val="21"/>
          <w:szCs w:val="21"/>
        </w:rPr>
        <w:t xml:space="preserve">Orders (−1.4%), units (−1.3%) and revenue (−1.1%) all slipped in 2022. Only 23 of 45 salespeople grew, and several top performers fell: Kenneth Bradley −19.1%, the highest seller overall.</w:t>
      </w:r>
    </w:p>
    <w:p>
      <w:pPr>
        <w:pStyle w:val="ListParagraph"/>
        <w:numPr>
          <w:ilvl w:val="0"/>
          <w:numId w:val="3"/>
        </w:numPr>
        <w:spacing w:after="110" w:line="276"/>
      </w:pPr>
      <w:r>
        <w:rPr>
          <w:rFonts w:ascii="Calibri" w:cs="Calibri" w:eastAsia="Calibri" w:hAnsi="Calibri"/>
          <w:b/>
          <w:bCs/>
          <w:sz w:val="21"/>
          <w:szCs w:val="21"/>
        </w:rPr>
        <w:t xml:space="preserve">The biggest cities are under-served. </w:t>
      </w:r>
      <w:r>
        <w:rPr>
          <w:rFonts w:ascii="Calibri" w:cs="Calibri" w:eastAsia="Calibri" w:hAnsi="Calibri"/>
          <w:sz w:val="21"/>
          <w:szCs w:val="21"/>
        </w:rPr>
        <w:t xml:space="preserve">Los Angeles has 3.97M residents but only ₹382K of sales, or ₹0.10 per resident, against ₹4.51 in Rialto. Eight large cities (Los Angeles, San Diego, San Francisco, San Jose, Fresno, Long Beach, Sacramento, Anaheim) hold 46% of the population but produce 10% of revenue. The network sells about the same in a 100K town as in a 4M city (correlation 0.07).</w:t>
      </w:r>
    </w:p>
    <w:p>
      <w:pPr>
        <w:pStyle w:val="ListParagraph"/>
        <w:numPr>
          <w:ilvl w:val="0"/>
          <w:numId w:val="3"/>
        </w:numPr>
        <w:spacing w:after="110" w:line="276"/>
      </w:pPr>
      <w:r>
        <w:rPr>
          <w:rFonts w:ascii="Calibri" w:cs="Calibri" w:eastAsia="Calibri" w:hAnsi="Calibri"/>
          <w:b/>
          <w:bCs/>
          <w:sz w:val="21"/>
          <w:szCs w:val="21"/>
        </w:rPr>
        <w:t xml:space="preserve">Best sellers with thin margins. </w:t>
      </w:r>
      <w:r>
        <w:rPr>
          <w:rFonts w:ascii="Calibri" w:cs="Calibri" w:eastAsia="Calibri" w:hAnsi="Calibri"/>
          <w:sz w:val="21"/>
          <w:szCs w:val="21"/>
        </w:rPr>
        <w:t xml:space="preserve">Products 84 (5th by revenue, 17.0%), 66 (8th, 18.0%) and 4 (₹417K, 15.0%) earn far less than the 32.5% average, and the top seller, Product 63, earns 28.0%. Together the 15 sub-20% products are 13.4% of revenue.</w:t>
      </w:r>
    </w:p>
    <w:p>
      <w:pPr>
        <w:pStyle w:val="ListParagraph"/>
        <w:numPr>
          <w:ilvl w:val="0"/>
          <w:numId w:val="3"/>
        </w:numPr>
        <w:spacing w:after="110" w:line="276"/>
      </w:pPr>
      <w:r>
        <w:rPr>
          <w:rFonts w:ascii="Calibri" w:cs="Calibri" w:eastAsia="Calibri" w:hAnsi="Calibri"/>
          <w:b/>
          <w:bCs/>
          <w:sz w:val="21"/>
          <w:szCs w:val="21"/>
        </w:rPr>
        <w:t xml:space="preserve">The budget cannot steer decisions. </w:t>
      </w:r>
      <w:r>
        <w:rPr>
          <w:rFonts w:ascii="Calibri" w:cs="Calibri" w:eastAsia="Calibri" w:hAnsi="Calibri"/>
          <w:sz w:val="21"/>
          <w:szCs w:val="21"/>
        </w:rPr>
        <w:t xml:space="preserve">It is a single annual figure per location with no year, it does not follow real seasonality, and 23 of its 97 location rows (24% of the budget total) match no location in the data. With actuals at 3.7 times budget, “exceeded budget” carries no information.</w:t>
      </w:r>
    </w:p>
    <w:p>
      <w:pPr>
        <w:pStyle w:val="ListParagraph"/>
        <w:numPr>
          <w:ilvl w:val="0"/>
          <w:numId w:val="3"/>
        </w:numPr>
        <w:spacing w:after="110" w:line="276"/>
      </w:pPr>
      <w:r>
        <w:rPr>
          <w:rFonts w:ascii="Calibri" w:cs="Calibri" w:eastAsia="Calibri" w:hAnsi="Calibri"/>
          <w:b/>
          <w:bCs/>
          <w:sz w:val="21"/>
          <w:szCs w:val="21"/>
        </w:rPr>
        <w:t xml:space="preserve">Unreliable customer master data. </w:t>
      </w:r>
      <w:r>
        <w:rPr>
          <w:rFonts w:ascii="Calibri" w:cs="Calibri" w:eastAsia="Calibri" w:hAnsi="Calibri"/>
          <w:sz w:val="21"/>
          <w:szCs w:val="21"/>
        </w:rPr>
        <w:t xml:space="preserve">There are 801 customer IDs but only 509 distinct names, and 229 names are shared by 2 to 5 IDs (“Jesse Hill” is five different IDs). Grouping by name shows Jesse Hill at ₹171K, when the largest single customer ID is ₹69.7K.</w:t>
      </w:r>
    </w:p>
    <w:p>
      <w:pPr>
        <w:pStyle w:val="Heading1"/>
        <w:keepNext/>
        <w:spacing w:after="120" w:before="280"/>
      </w:pPr>
      <w:r>
        <w:rPr>
          <w:rFonts w:ascii="Calibri" w:cs="Calibri" w:eastAsia="Calibri" w:hAnsi="Calibri"/>
          <w:b/>
          <w:bCs/>
          <w:color w:val="4B1D6B"/>
          <w:sz w:val="30"/>
          <w:szCs w:val="30"/>
        </w:rPr>
        <w:t xml:space="preserve">4. Top 5 recommendations</w:t>
      </w:r>
    </w:p>
    <w:p>
      <w:pPr>
        <w:pStyle w:val="ListParagraph"/>
        <w:numPr>
          <w:ilvl w:val="0"/>
          <w:numId w:val="4"/>
        </w:numPr>
        <w:spacing w:after="110" w:line="276"/>
      </w:pPr>
      <w:r>
        <w:rPr>
          <w:rFonts w:ascii="Calibri" w:cs="Calibri" w:eastAsia="Calibri" w:hAnsi="Calibri"/>
          <w:b/>
          <w:bCs/>
          <w:sz w:val="21"/>
          <w:szCs w:val="21"/>
        </w:rPr>
        <w:t xml:space="preserve">Rebuild the budget. </w:t>
      </w:r>
      <w:r>
        <w:rPr>
          <w:rFonts w:ascii="Calibri" w:cs="Calibri" w:eastAsia="Calibri" w:hAnsi="Calibri"/>
          <w:sz w:val="21"/>
          <w:szCs w:val="21"/>
        </w:rPr>
        <w:t xml:space="preserve">Set year-specific, location-specific targets phased by real monthly sales patterns, starting from the 2021–22 average of about ₹11.6M a year plus an explicit growth goal. Track variance monthly by location, and map or remove the 23 unmatched budget rows.</w:t>
      </w:r>
    </w:p>
    <w:p>
      <w:pPr>
        <w:pStyle w:val="ListParagraph"/>
        <w:numPr>
          <w:ilvl w:val="0"/>
          <w:numId w:val="4"/>
        </w:numPr>
        <w:spacing w:after="110" w:line="276"/>
      </w:pPr>
      <w:r>
        <w:rPr>
          <w:rFonts w:ascii="Calibri" w:cs="Calibri" w:eastAsia="Calibri" w:hAnsi="Calibri"/>
          <w:b/>
          <w:bCs/>
          <w:sz w:val="21"/>
          <w:szCs w:val="21"/>
        </w:rPr>
        <w:t xml:space="preserve">Launch a big-city growth programme. </w:t>
      </w:r>
      <w:r>
        <w:rPr>
          <w:rFonts w:ascii="Calibri" w:cs="Calibri" w:eastAsia="Calibri" w:hAnsi="Calibri"/>
          <w:sz w:val="21"/>
          <w:szCs w:val="21"/>
        </w:rPr>
        <w:t xml:space="preserve">Pilot in Los Angeles, San Diego and San Francisco with sales-per-resident targets. As a conservative floor, lifting the eight large cities to the median location (₹345K) would add about ₹0.22M; the real prize is larger because these cities hold 46% of the population.</w:t>
      </w:r>
    </w:p>
    <w:p>
      <w:pPr>
        <w:pStyle w:val="ListParagraph"/>
        <w:numPr>
          <w:ilvl w:val="0"/>
          <w:numId w:val="4"/>
        </w:numPr>
        <w:spacing w:after="110" w:line="276"/>
      </w:pPr>
      <w:r>
        <w:rPr>
          <w:rFonts w:ascii="Calibri" w:cs="Calibri" w:eastAsia="Calibri" w:hAnsi="Calibri"/>
          <w:b/>
          <w:bCs/>
          <w:sz w:val="21"/>
          <w:szCs w:val="21"/>
        </w:rPr>
        <w:t xml:space="preserve">Fix margin on the best sellers. </w:t>
      </w:r>
      <w:r>
        <w:rPr>
          <w:rFonts w:ascii="Calibri" w:cs="Calibri" w:eastAsia="Calibri" w:hAnsi="Calibri"/>
          <w:sz w:val="21"/>
          <w:szCs w:val="21"/>
        </w:rPr>
        <w:t xml:space="preserve">Review price or cost on the 15 products under 20% margin. Reaching a 25% margin on them is worth about ₹259K of profit (+3.1%), and bringing Product 84 alone to the 32.5% average is worth about ₹82K.</w:t>
      </w:r>
    </w:p>
    <w:p>
      <w:pPr>
        <w:pStyle w:val="ListParagraph"/>
        <w:numPr>
          <w:ilvl w:val="0"/>
          <w:numId w:val="4"/>
        </w:numPr>
        <w:spacing w:after="110" w:line="276"/>
      </w:pPr>
      <w:r>
        <w:rPr>
          <w:rFonts w:ascii="Calibri" w:cs="Calibri" w:eastAsia="Calibri" w:hAnsi="Calibri"/>
          <w:b/>
          <w:bCs/>
          <w:sz w:val="21"/>
          <w:szCs w:val="21"/>
        </w:rPr>
        <w:t xml:space="preserve">Pay and coach for profit. </w:t>
      </w:r>
      <w:r>
        <w:rPr>
          <w:rFonts w:ascii="Calibri" w:cs="Calibri" w:eastAsia="Calibri" w:hAnsi="Calibri"/>
          <w:sz w:val="21"/>
          <w:szCs w:val="21"/>
        </w:rPr>
        <w:t xml:space="preserve">Base incentives on gross profit rather than revenue and push the 49–50% margin products (41, 96, 40, 91, 64). Pair salespeople whose sales fell most in 2022 (Brian Thomas −25.3%, Kenneth Bradley −19.1%, Jimmy Young −18.6%) with those who grew most (Carl Hall +40.1%, Sean Miller +33.2%, Joe Sims +30.7%).</w:t>
      </w:r>
    </w:p>
    <w:p>
      <w:pPr>
        <w:pStyle w:val="ListParagraph"/>
        <w:numPr>
          <w:ilvl w:val="0"/>
          <w:numId w:val="4"/>
        </w:numPr>
        <w:spacing w:after="110" w:line="276"/>
      </w:pPr>
      <w:r>
        <w:rPr>
          <w:rFonts w:ascii="Calibri" w:cs="Calibri" w:eastAsia="Calibri" w:hAnsi="Calibri"/>
          <w:b/>
          <w:bCs/>
          <w:sz w:val="21"/>
          <w:szCs w:val="21"/>
        </w:rPr>
        <w:t xml:space="preserve">Clean the data and extend it. </w:t>
      </w:r>
      <w:r>
        <w:rPr>
          <w:rFonts w:ascii="Calibri" w:cs="Calibri" w:eastAsia="Calibri" w:hAnsi="Calibri"/>
          <w:sz w:val="21"/>
          <w:szCs w:val="21"/>
        </w:rPr>
        <w:t xml:space="preserve">Merge duplicate customer IDs, then tier customers by value and order frequency. Add 2023 in full, year-specific budgets, and costs beyond product cost so profit is not overstated.</w:t>
      </w:r>
    </w:p>
    <w:p>
      <w:pPr>
        <w:pStyle w:val="Heading1"/>
        <w:keepNext/>
        <w:spacing w:after="120" w:before="280"/>
      </w:pPr>
      <w:r>
        <w:rPr>
          <w:rFonts w:ascii="Calibri" w:cs="Calibri" w:eastAsia="Calibri" w:hAnsi="Calibri"/>
          <w:b/>
          <w:bCs/>
          <w:color w:val="4B1D6B"/>
          <w:sz w:val="30"/>
          <w:szCs w:val="30"/>
        </w:rPr>
        <w:t xml:space="preserve">5. Answers to the 25 management questions</w:t>
      </w:r>
    </w:p>
    <w:p>
      <w:pPr>
        <w:spacing w:after="140"/>
      </w:pPr>
      <w:r>
        <w:rPr>
          <w:rFonts w:ascii="Calibri" w:cs="Calibri" w:eastAsia="Calibri" w:hAnsi="Calibri"/>
          <w:sz w:val="21"/>
          <w:szCs w:val="21"/>
        </w:rPr>
        <w:t xml:space="preserve">These figures come from the dashboard and were cross-checked against the source workbook. Customer answers use Customer ID because names repeat across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478"/>
      </w:tblGrid>
      <w:tr>
        <w:trPr>
          <w:tblHeader/>
        </w:trPr>
        <w:tc>
          <w:tcPr>
            <w:tcW w:type="dxa" w:w="560"/>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w:t>
            </w:r>
          </w:p>
        </w:tc>
        <w:tc>
          <w:tcPr>
            <w:tcW w:type="dxa" w:w="2600"/>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Question</w:t>
            </w:r>
          </w:p>
        </w:tc>
        <w:tc>
          <w:tcPr>
            <w:tcW w:type="dxa" w:w="6478"/>
            <w:tcBorders>
              <w:top w:val="single" w:color="D9D0E3" w:sz="4"/>
              <w:left w:val="single" w:color="D9D0E3" w:sz="4"/>
              <w:bottom w:val="single" w:color="D9D0E3" w:sz="4"/>
              <w:right w:val="single" w:color="D9D0E3" w:sz="4"/>
            </w:tcBorders>
            <w:shd w:fill="EFE7F5" w:val="clear"/>
            <w:tcMar>
              <w:top w:type="dxa" w:w="70"/>
              <w:left w:type="dxa" w:w="110"/>
              <w:bottom w:type="dxa" w:w="70"/>
              <w:right w:type="dxa" w:w="110"/>
            </w:tcMar>
          </w:tcPr>
          <w:p>
            <w:pPr>
              <w:spacing w:after="0" w:line="260"/>
            </w:pPr>
            <w:r>
              <w:rPr>
                <w:rFonts w:ascii="Calibri" w:cs="Calibri" w:eastAsia="Calibri" w:hAnsi="Calibri"/>
                <w:b/>
                <w:bCs/>
                <w:color w:val="4B1D6B"/>
                <w:sz w:val="20"/>
                <w:szCs w:val="20"/>
              </w:rPr>
              <w:t xml:space="preserve">Answer from the report</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Business performance</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What is the total revenue?</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₹25,661,209 (₹25.66M) from 1 Jan 2021 to 15 Mar 2023.</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What is the total profit?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₹8,343,893 (₹8.34M) gross profit: quantity × (price − product cost).</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3</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What is the overall profit margin?</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32.5% (32.52%). It is about 32.5% in each of 2021, 2022 and 2023 to date.</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4</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Is revenue growing year over year?</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No. 2022 was ₹11.57M against ₹11.69M in 2021 (−1.1%). For 1 Jan–15 Mar, 2023 is +3.7% on 2022 but −2.7% on 2021, so it is flat rather than growing.</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5</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year performed best?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2021 (₹11.69M) among the two full years. 2023 is incomplete (₹2.40M to 15 March).</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Products</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6</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Top 10 products by revenue</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Product 63 (₹628K), 28 (₹604K), 47 (₹557K), 29 (₹534K), 84 (₹529K), 59 (₹524K), 56 (₹484K), 66 (₹474K), 33 (₹468K), 81 (₹466K). Together 20.5% of revenue.</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7</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Top 10 products by profit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Product 28 (₹248K), 41 (₹214K), 79 (₹209K), 47 (₹206K), 64 (₹203K), 51 (₹197K), 31 (₹197K), 29 (₹187K), 34 (₹184K), 96 (₹178K).</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8</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products have poor margins?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Product 4 (15.0%), 95 (16.0%), 27 (17.0%), 84 (17.0%), 36, 12, 25, 6, 17 and 66 (about 18%). Fifteen of 101 products earn under 20%.</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9</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products have the highest demand?</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By units: Product 24 (289), 55 (256), 63 (255), 79 (253), 23 (250).</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Customers (by Customer ID)</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10</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Who are the top 10 customers?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Mark Morales C1374 (₹69.7K), Jesse Hill C1246 (₹67.8K), Craig Reyes C1712 (₹66.2K), Fred Russell C1304 (₹65.5K), Jeremy Arnold C1743 (₹65.2K), Victor Gray C1040 (₹65.2K), Andrew Adams C1212 (₹64.8K), Russell Boyd C1596 (₹64.3K), Jeffrey Sanders C1364 (₹63.4K), William Medina C1612 (₹62.6K).</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11</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What share of sales comes from top customers?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The top 10 customers are 2.6% of sales and the largest is 0.27%. It takes 545 of 801 customers to reach 80% of revenue, so dependence is very low.</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12</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customers generate the highest profit?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Andrew Adams C1212 (₹23.4K), Jeffrey Sanders C1364 (₹23.4K), Andrew Butler C1345 (₹23.1K), Craig Reyes C1712 (₹22.8K), Mark Morales C1374 (₹22.6K).</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Sales team</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13</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Best-performing salesperson</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Kenneth Bradley, ₹678.8K, followed by Ryan Welch (₹668.3K) and Bobby Russell (₹653.3K). The spread across all 45 people is only ₹436K to ₹679K.</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14</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Highest profit generated</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Kenneth Bradley, ₹227.3K, then Ryan Welch (₹221.6K) and Bobby Russell (₹214.2K).</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15</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Highest order volume</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Ryan Welch with 273 orders, then Eugene Holmes (271) and Brian Davis (269).</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Geography</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16</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state generates the highest revenue?</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All data is in California, so state comparison is not possible. By county: Los Angeles ₹5.63M (21.9%), Orange ₹2.60M, San Diego ₹2.46M, San Bernardino ₹2.41M, Riverside ₹2.08M (22 counties).</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17</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locations are underperforming?</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Lowest sales: Antioch (₹277K), Costa Mesa (₹278K), San Francisco (₹284K), Norwalk (₹290K), Sunnyvale (₹290K). Lowest budget achievement: Costa Mesa 166%, San Buenaventura 214%, Sunnyvale 249%, Torrance 252%, Antioch 258%.</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18</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locations show growth potential?</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Large populations with low sales per resident: Los Angeles (3.97M people, ₹0.10 each), San Diego (1.39M, ₹0.24), San Francisco (0.86M, ₹0.33), San Jose (1.03M, ₹0.39), Fresno (0.52M, ₹0.57). Population and sales are almost uncorrelated (0.07).</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Budget</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19</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Is the organization achieving its budget?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Yes, by a wide margin: 366.8% overall (2021 364.3%, 2022 360.4%, 2023 to date 416.3%). That gap suggests the budget is set too low.</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20</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locations exceeded the budget?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All 74. Achievement runs from 166% (Costa Mesa) to 756% (Visalia); the average is 393%.</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21</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locations missed the budget?</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None over the full period. At location-month level 151 of 1,991 combinations (7.6%) fell short, most often Costa Mesa (9 months), Garden Grove (6), San Buenaventura (5) and Sunnyvale (5).</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22</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Which months had the largest budget variance?</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Actual minus budget, all years: January +₹2.48M, February +₹2.21M, December +₹1.80M, March +₹1.75M, November +₹1.73M. Smallest: May, July and June, where the budget peaks.</w:t>
            </w:r>
          </w:p>
        </w:tc>
      </w:tr>
      <w:tr>
        <w:trPr>
          <w:cantSplit/>
        </w:trPr>
        <w:tc>
          <w:tcPr>
            <w:tcW w:type="dxa" w:w="9638"/>
            <w:gridSpan w:val="3"/>
            <w:tcBorders>
              <w:top w:val="single" w:color="D9D0E3" w:sz="4"/>
              <w:left w:val="single" w:color="D9D0E3" w:sz="4"/>
              <w:bottom w:val="single" w:color="D9D0E3" w:sz="4"/>
              <w:right w:val="single" w:color="D9D0E3" w:sz="4"/>
            </w:tcBorders>
            <w:shd w:fill="4B1D6B"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Strategic insights</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23</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Three biggest strengths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1) Highly diversified revenue: no customer above 0.3% and no location above 2%. 2) A consistent 32.5% margin in every year. 3) An evenly strong network: all 74 locations beat budget and salespeople sit within ₹436K to ₹679K.</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24</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Three biggest concerns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1) No growth: orders, units and revenue slipped in 2022. 2) Large cities are barely penetrated. 3) Best sellers such as Products 84, 66 and 4 earn under 20%, and the budget cannot steer decisions.</w:t>
            </w:r>
          </w:p>
        </w:tc>
      </w:tr>
      <w:tr>
        <w:trPr>
          <w:cantSplit/>
        </w:trPr>
        <w:tc>
          <w:tcPr>
            <w:tcW w:type="dxa" w:w="56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bCs/>
                <w:sz w:val="20"/>
                <w:szCs w:val="20"/>
              </w:rPr>
              <w:t xml:space="preserve">25</w:t>
            </w:r>
          </w:p>
        </w:tc>
        <w:tc>
          <w:tcPr>
            <w:tcW w:type="dxa" w:w="2600"/>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Recommendations</w:t>
            </w:r>
          </w:p>
        </w:tc>
        <w:tc>
          <w:tcPr>
            <w:tcW w:type="dxa" w:w="6478"/>
            <w:tcBorders>
              <w:top w:val="single" w:color="D9D0E3" w:sz="4"/>
              <w:left w:val="single" w:color="D9D0E3" w:sz="4"/>
              <w:bottom w:val="single" w:color="D9D0E3" w:sz="4"/>
              <w:right w:val="single" w:color="D9D0E3" w:sz="4"/>
            </w:tcBorders>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See section 4: rebuild the budget, launch a big-city growth programme, fix margin on best sellers, pay and coach for profit, and clean the customer master data.</w:t>
            </w:r>
          </w:p>
        </w:tc>
      </w:tr>
    </w:tbl>
    <w:p>
      <w:pPr>
        <w:pStyle w:val="Heading1"/>
        <w:keepNext/>
        <w:spacing w:after="120" w:before="280"/>
      </w:pPr>
      <w:r>
        <w:rPr>
          <w:rFonts w:ascii="Calibri" w:cs="Calibri" w:eastAsia="Calibri" w:hAnsi="Calibri"/>
          <w:b/>
          <w:bCs/>
          <w:color w:val="4B1D6B"/>
          <w:sz w:val="30"/>
          <w:szCs w:val="30"/>
        </w:rPr>
        <w:t xml:space="preserve">6. Data notes and assumptions</w:t>
      </w:r>
    </w:p>
    <w:p>
      <w:pPr>
        <w:pStyle w:val="ListParagraph"/>
        <w:numPr>
          <w:ilvl w:val="0"/>
          <w:numId w:val="5"/>
        </w:numPr>
        <w:spacing w:after="70" w:line="270"/>
      </w:pPr>
      <w:r>
        <w:rPr>
          <w:rFonts w:ascii="Calibri" w:cs="Calibri" w:eastAsia="Calibri" w:hAnsi="Calibri"/>
          <w:b/>
          <w:bCs/>
          <w:sz w:val="21"/>
          <w:szCs w:val="21"/>
        </w:rPr>
        <w:t xml:space="preserve">Data quality. </w:t>
      </w:r>
      <w:r>
        <w:rPr>
          <w:rFonts w:ascii="Calibri" w:cs="Calibri" w:eastAsia="Calibri" w:hAnsi="Calibri"/>
          <w:sz w:val="21"/>
          <w:szCs w:val="21"/>
        </w:rPr>
        <w:t xml:space="preserve">The three sales sheets were appended into one fact table of 10,889 rows. There are no blank values, no duplicate order IDs, and every row matches a product, location, customer and salesperson.</w:t>
      </w:r>
    </w:p>
    <w:p>
      <w:pPr>
        <w:pStyle w:val="ListParagraph"/>
        <w:numPr>
          <w:ilvl w:val="0"/>
          <w:numId w:val="5"/>
        </w:numPr>
        <w:spacing w:after="70" w:line="270"/>
      </w:pPr>
      <w:r>
        <w:rPr>
          <w:rFonts w:ascii="Calibri" w:cs="Calibri" w:eastAsia="Calibri" w:hAnsi="Calibri"/>
          <w:b/>
          <w:bCs/>
          <w:sz w:val="21"/>
          <w:szCs w:val="21"/>
        </w:rPr>
        <w:t xml:space="preserve">Period. </w:t>
      </w:r>
      <w:r>
        <w:rPr>
          <w:rFonts w:ascii="Calibri" w:cs="Calibri" w:eastAsia="Calibri" w:hAnsi="Calibri"/>
          <w:sz w:val="21"/>
          <w:szCs w:val="21"/>
        </w:rPr>
        <w:t xml:space="preserve">Sales cover 1 Jan 2021 to 15 Mar 2023 with sales on every one of the 804 days. 2023 is a partial year, so full-year comparisons use 2021 and 2022 only.</w:t>
      </w:r>
    </w:p>
    <w:p>
      <w:pPr>
        <w:pStyle w:val="ListParagraph"/>
        <w:numPr>
          <w:ilvl w:val="0"/>
          <w:numId w:val="5"/>
        </w:numPr>
        <w:spacing w:after="70" w:line="270"/>
      </w:pPr>
      <w:r>
        <w:rPr>
          <w:rFonts w:ascii="Calibri" w:cs="Calibri" w:eastAsia="Calibri" w:hAnsi="Calibri"/>
          <w:b/>
          <w:bCs/>
          <w:sz w:val="21"/>
          <w:szCs w:val="21"/>
        </w:rPr>
        <w:t xml:space="preserve">Profit definition. </w:t>
      </w:r>
      <w:r>
        <w:rPr>
          <w:rFonts w:ascii="Calibri" w:cs="Calibri" w:eastAsia="Calibri" w:hAnsi="Calibri"/>
          <w:sz w:val="21"/>
          <w:szCs w:val="21"/>
        </w:rPr>
        <w:t xml:space="preserve">Profit is quantity × (price − product cost). Price equals the product list price on every row, discount is zero everywhere, and taxes are not deducted, so this is gross, not net, profit.</w:t>
      </w:r>
    </w:p>
    <w:p>
      <w:pPr>
        <w:pStyle w:val="ListParagraph"/>
        <w:numPr>
          <w:ilvl w:val="0"/>
          <w:numId w:val="5"/>
        </w:numPr>
        <w:spacing w:after="70" w:line="270"/>
      </w:pPr>
      <w:r>
        <w:rPr>
          <w:rFonts w:ascii="Calibri" w:cs="Calibri" w:eastAsia="Calibri" w:hAnsi="Calibri"/>
          <w:b/>
          <w:bCs/>
          <w:sz w:val="21"/>
          <w:szCs w:val="21"/>
        </w:rPr>
        <w:t xml:space="preserve">Budget. </w:t>
      </w:r>
      <w:r>
        <w:rPr>
          <w:rFonts w:ascii="Calibri" w:cs="Calibri" w:eastAsia="Calibri" w:hAnsi="Calibri"/>
          <w:sz w:val="21"/>
          <w:szCs w:val="21"/>
        </w:rPr>
        <w:t xml:space="preserve">The Budgeting sheet holds two tables side by side. It was split into an annual budget per location (97 rows) and a monthly allocation curve (12 rows summing to 100%). The budget measure counts only the 74 locations in the data and only months up to the last sales month.</w:t>
      </w:r>
    </w:p>
    <w:p>
      <w:pPr>
        <w:pStyle w:val="ListParagraph"/>
        <w:numPr>
          <w:ilvl w:val="0"/>
          <w:numId w:val="5"/>
        </w:numPr>
        <w:spacing w:after="70" w:line="270"/>
      </w:pPr>
      <w:r>
        <w:rPr>
          <w:rFonts w:ascii="Calibri" w:cs="Calibri" w:eastAsia="Calibri" w:hAnsi="Calibri"/>
          <w:b/>
          <w:bCs/>
          <w:sz w:val="21"/>
          <w:szCs w:val="21"/>
        </w:rPr>
        <w:t xml:space="preserve">Assumption. </w:t>
      </w:r>
      <w:r>
        <w:rPr>
          <w:rFonts w:ascii="Calibri" w:cs="Calibri" w:eastAsia="Calibri" w:hAnsi="Calibri"/>
          <w:sz w:val="21"/>
          <w:szCs w:val="21"/>
        </w:rPr>
        <w:t xml:space="preserve">The budget has no year, so the same annual target is assumed for 2021, 2022 and 2023. March 2023 is counted as a full budget month although sales end on 15 March, which slightly understates 2023 achievement.</w:t>
      </w:r>
    </w:p>
    <w:p>
      <w:pPr>
        <w:pStyle w:val="ListParagraph"/>
        <w:numPr>
          <w:ilvl w:val="0"/>
          <w:numId w:val="5"/>
        </w:numPr>
        <w:spacing w:after="70" w:line="270"/>
      </w:pPr>
      <w:r>
        <w:rPr>
          <w:rFonts w:ascii="Calibri" w:cs="Calibri" w:eastAsia="Calibri" w:hAnsi="Calibri"/>
          <w:b/>
          <w:bCs/>
          <w:sz w:val="21"/>
          <w:szCs w:val="21"/>
        </w:rPr>
        <w:t xml:space="preserve">Geography. </w:t>
      </w:r>
      <w:r>
        <w:rPr>
          <w:rFonts w:ascii="Calibri" w:cs="Calibri" w:eastAsia="Calibri" w:hAnsi="Calibri"/>
          <w:sz w:val="21"/>
          <w:szCs w:val="21"/>
        </w:rPr>
        <w:t xml:space="preserve">All locations are in California, so geographic analysis uses county (22) and location (74). The Date Ranges helper sheet was not used.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Power BI Sales Intelligence  |  Business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60"/>
      </w:pPr>
      <w:rPr>
        <w:b/>
        <w:bCs/>
        <w:color w:val="4B1D6B"/>
      </w:rPr>
    </w:lvl>
  </w:abstractNum>
  <w:abstractNum w:abstractNumId="4" w15:restartNumberingAfterBreak="0">
    <w:multiLevelType w:val="hybridMultilevel"/>
    <w:lvl w:ilvl="0" w15:tentative="1">
      <w:start w:val="1"/>
      <w:numFmt w:val="decimal"/>
      <w:lvlText w:val="%1."/>
      <w:lvlJc w:val="left"/>
      <w:pPr>
        <w:ind w:left="500" w:hanging="360"/>
      </w:pPr>
      <w:rPr>
        <w:b/>
        <w:bCs/>
        <w:color w:val="4B1D6B"/>
      </w:rPr>
    </w:lvl>
  </w:abstractNum>
  <w:abstractNum w:abstractNumId="5" w15:restartNumberingAfterBreak="0">
    <w:multiLevelType w:val="hybridMultilevel"/>
    <w:lvl w:ilvl="0" w15:tentative="1">
      <w:start w:val="1"/>
      <w:numFmt w:val="decimal"/>
      <w:lvlText w:val="%1."/>
      <w:lvlJc w:val="left"/>
      <w:pPr>
        <w:ind w:left="500" w:hanging="360"/>
      </w:pPr>
      <w:rPr>
        <w:b/>
        <w:bCs/>
        <w:color w:val="4B1D6B"/>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Insights Report</dc:title>
  <dc:creator>Power BI assignment</dc:creator>
  <cp:lastModifiedBy>Un-named</cp:lastModifiedBy>
  <cp:revision>1</cp:revision>
  <dcterms:created xsi:type="dcterms:W3CDTF">2026-09-28T17:29:44.902Z</dcterms:created>
  <dcterms:modified xsi:type="dcterms:W3CDTF">2026-09-28T17:29:44.903Z</dcterms:modified>
</cp:coreProperties>
</file>

<file path=docProps/custom.xml><?xml version="1.0" encoding="utf-8"?>
<Properties xmlns="http://schemas.openxmlformats.org/officeDocument/2006/custom-properties" xmlns:vt="http://schemas.openxmlformats.org/officeDocument/2006/docPropsVTypes"/>
</file>