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[CALC(basic_monthly = {{ctc_total}}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[CALC(basic_annual = {{ctc_total}}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[CALC(hra_monthly = {{ctc_total}}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[CALC(hra_annual = {{ctc_total}}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[CALC(special_allowance_monthly = {{special_allowance_annual}}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[CALC(special_allowance_annual = {{ctc_total}} - ({{basic_annual}} + {{hra_annual}} + {{pf_annual}} + {{gratuity_annual}}))]</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[CALC(gross_monthly = {{basic_monthly}} + {{hra_monthly}} + {{special_allowance_monthly}})]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[CALC(gross_annual = {{basic_annual}} + {{hra_annual}} + {{special_allowance_annual}})]</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[CALC(pf_monthly = MIN({{basic_monthly}},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[CALC(pf_annual = {{pf_monthly}}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[CALC(gratuity_monthly = {{basic_monthly}}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[CALC(gratuity_annual = {{basic_annual}}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[SELECT(insurance_annual,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[CALC(total_fixed_monthly = {{gross_monthly}} + {{pf_monthly}} + {{gratuity_monthly}}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[CALC(total_fixed_annual = {{gross_annual}} + {{pf_annual}} + {{gratuity_annual}} + {{insurance_annual}})]</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[CALC(performance_bonus_annual = {{ctc_total}} * {{performance_bonus}}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[CALC(total_ctc_monthly = {{total_fixed_monthly}})]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[CALC({{total_fixed_annual}} + </w:t>
            </w:r>
            <w:r w:rsidRPr="00B21192">
              <w:rPr>
                <w:rFonts w:ascii="Courier New" w:eastAsia="Times New Roman" w:hAnsi="Courier New" w:cs="Courier New"/>
                <w:color w:val="FFFFFF" w:themeColor="background1"/>
                <w:sz w:val="16"/>
                <w:szCs w:val="16"/>
              </w:rPr>
              <w:lastRenderedPageBreak/>
              <w:t>{{performance_bonus_annual}})]</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