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Annual CTC: 2,40,000</w:t>
      </w:r>
    </w:p>
    <w:p>
      <w:r>
        <w:t>10,000</w:t>
      </w:r>
    </w:p>
    <w:p>
      <w:r>
        <w:t>20,000</w:t>
      </w:r>
    </w:p>
    <w:p>
      <w:r>
        <w:t>Result: {{total_fixed_monthly}}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