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3276" w14:textId="430AB97B" w:rsidR="001F04BE" w:rsidRPr="00E65B61" w:rsidRDefault="00E65B61">
      <w:pPr>
        <w:rPr>
          <w:rFonts w:cstheme="minorHAnsi"/>
          <w:b/>
          <w:bCs/>
          <w:sz w:val="26"/>
          <w:szCs w:val="26"/>
        </w:rPr>
      </w:pPr>
      <w:r w:rsidRPr="00E65B61">
        <w:rPr>
          <w:rFonts w:cstheme="minorHAnsi"/>
          <w:b/>
          <w:bCs/>
          <w:sz w:val="26"/>
          <w:szCs w:val="26"/>
        </w:rPr>
        <w:t>7.1. Bizonytalansági következtetés szabályalapú eljárásokkal</w:t>
      </w:r>
      <w:r w:rsidRPr="00E65B61">
        <w:rPr>
          <w:rFonts w:cstheme="minorHAnsi"/>
          <w:b/>
          <w:bCs/>
          <w:sz w:val="26"/>
          <w:szCs w:val="26"/>
        </w:rPr>
        <w:t>:</w:t>
      </w:r>
    </w:p>
    <w:p w14:paraId="319293CE" w14:textId="36362C02" w:rsidR="00E65B61" w:rsidRPr="00E65B61" w:rsidRDefault="00E65B61">
      <w:pPr>
        <w:rPr>
          <w:rFonts w:cstheme="minorHAnsi"/>
        </w:rPr>
      </w:pPr>
      <w:r w:rsidRPr="00E65B61">
        <w:rPr>
          <w:rFonts w:cstheme="minorHAnsi"/>
        </w:rPr>
        <w:t>A szabályalapú rendszerek a logikai következtés gyakorlati és szemléletes rendszerein való korai munkákból alakultak ki. A logikai rendszerek általában, és a logikai szabályalapú rendszerek speciálisan, rendelkeznek az alábbi három tulajdonsággal:</w:t>
      </w:r>
    </w:p>
    <w:p w14:paraId="4507EC8E" w14:textId="67511ECB" w:rsidR="00E65B61" w:rsidRPr="00E65B61" w:rsidRDefault="00E65B61" w:rsidP="00E65B61">
      <w:pPr>
        <w:pStyle w:val="Listaszerbekezds"/>
        <w:numPr>
          <w:ilvl w:val="0"/>
          <w:numId w:val="1"/>
        </w:numPr>
        <w:rPr>
          <w:rFonts w:cstheme="minorHAnsi"/>
        </w:rPr>
      </w:pPr>
      <w:r w:rsidRPr="00E65B61">
        <w:rPr>
          <w:rFonts w:cstheme="minorHAnsi"/>
          <w:b/>
          <w:bCs/>
        </w:rPr>
        <w:t>Lokalitás (</w:t>
      </w:r>
      <w:proofErr w:type="spellStart"/>
      <w:r w:rsidRPr="00E65B61">
        <w:rPr>
          <w:rFonts w:cstheme="minorHAnsi"/>
          <w:b/>
          <w:bCs/>
        </w:rPr>
        <w:t>locality</w:t>
      </w:r>
      <w:proofErr w:type="spellEnd"/>
      <w:r w:rsidRPr="00E65B61">
        <w:rPr>
          <w:rFonts w:cstheme="minorHAnsi"/>
          <w:b/>
          <w:bCs/>
        </w:rPr>
        <w:t>)</w:t>
      </w:r>
      <w:r w:rsidRPr="00E65B61">
        <w:rPr>
          <w:rFonts w:cstheme="minorHAnsi"/>
        </w:rPr>
        <w:t xml:space="preserve">: logikai rendszerekben, ha van A </w:t>
      </w:r>
      <w:r w:rsidRPr="00E65B61">
        <w:rPr>
          <w:rFonts w:ascii="Cambria Math" w:hAnsi="Cambria Math" w:cs="Cambria Math"/>
        </w:rPr>
        <w:t>⇒</w:t>
      </w:r>
      <w:r w:rsidRPr="00E65B61">
        <w:rPr>
          <w:rFonts w:cstheme="minorHAnsi"/>
        </w:rPr>
        <w:t xml:space="preserve"> B form</w:t>
      </w:r>
      <w:r w:rsidRPr="00E65B61">
        <w:rPr>
          <w:rFonts w:ascii="Calibri" w:hAnsi="Calibri" w:cs="Calibri"/>
        </w:rPr>
        <w:t>á</w:t>
      </w:r>
      <w:r w:rsidRPr="00E65B61">
        <w:rPr>
          <w:rFonts w:cstheme="minorHAnsi"/>
        </w:rPr>
        <w:t>j</w:t>
      </w:r>
      <w:r w:rsidRPr="00E65B61">
        <w:rPr>
          <w:rFonts w:ascii="Calibri" w:hAnsi="Calibri" w:cs="Calibri"/>
        </w:rPr>
        <w:t>ú</w:t>
      </w:r>
      <w:r w:rsidRPr="00E65B61">
        <w:rPr>
          <w:rFonts w:cstheme="minorHAnsi"/>
        </w:rPr>
        <w:t xml:space="preserve"> szab</w:t>
      </w:r>
      <w:r w:rsidRPr="00E65B61">
        <w:rPr>
          <w:rFonts w:ascii="Calibri" w:hAnsi="Calibri" w:cs="Calibri"/>
        </w:rPr>
        <w:t>á</w:t>
      </w:r>
      <w:r w:rsidRPr="00E65B61">
        <w:rPr>
          <w:rFonts w:cstheme="minorHAnsi"/>
        </w:rPr>
        <w:t>ly, akkor a B kik</w:t>
      </w:r>
      <w:r w:rsidRPr="00E65B61">
        <w:rPr>
          <w:rFonts w:ascii="Calibri" w:hAnsi="Calibri" w:cs="Calibri"/>
        </w:rPr>
        <w:t>ö</w:t>
      </w:r>
      <w:r w:rsidRPr="00E65B61">
        <w:rPr>
          <w:rFonts w:cstheme="minorHAnsi"/>
        </w:rPr>
        <w:t>vetkeztethet</w:t>
      </w:r>
      <w:r w:rsidRPr="00E65B61">
        <w:rPr>
          <w:rFonts w:ascii="Calibri" w:hAnsi="Calibri" w:cs="Calibri"/>
        </w:rPr>
        <w:t>ő</w:t>
      </w:r>
      <w:r w:rsidRPr="00E65B61">
        <w:rPr>
          <w:rFonts w:cstheme="minorHAnsi"/>
        </w:rPr>
        <w:t>, ha az A bizony</w:t>
      </w:r>
      <w:r w:rsidRPr="00E65B61">
        <w:rPr>
          <w:rFonts w:ascii="Calibri" w:hAnsi="Calibri" w:cs="Calibri"/>
        </w:rPr>
        <w:t>í</w:t>
      </w:r>
      <w:r w:rsidRPr="00E65B61">
        <w:rPr>
          <w:rFonts w:cstheme="minorHAnsi"/>
        </w:rPr>
        <w:t>t</w:t>
      </w:r>
      <w:r w:rsidRPr="00E65B61">
        <w:rPr>
          <w:rFonts w:ascii="Calibri" w:hAnsi="Calibri" w:cs="Calibri"/>
        </w:rPr>
        <w:t>é</w:t>
      </w:r>
      <w:r w:rsidRPr="00E65B61">
        <w:rPr>
          <w:rFonts w:cstheme="minorHAnsi"/>
        </w:rPr>
        <w:t>k adott, b</w:t>
      </w:r>
      <w:r w:rsidRPr="00E65B61">
        <w:rPr>
          <w:rFonts w:ascii="Calibri" w:hAnsi="Calibri" w:cs="Calibri"/>
        </w:rPr>
        <w:t>á</w:t>
      </w:r>
      <w:r w:rsidRPr="00E65B61">
        <w:rPr>
          <w:rFonts w:cstheme="minorHAnsi"/>
        </w:rPr>
        <w:t>rmely m</w:t>
      </w:r>
      <w:r w:rsidRPr="00E65B61">
        <w:rPr>
          <w:rFonts w:ascii="Calibri" w:hAnsi="Calibri" w:cs="Calibri"/>
        </w:rPr>
        <w:t>á</w:t>
      </w:r>
      <w:r w:rsidRPr="00E65B61">
        <w:rPr>
          <w:rFonts w:cstheme="minorHAnsi"/>
        </w:rPr>
        <w:t>s szab</w:t>
      </w:r>
      <w:r w:rsidRPr="00E65B61">
        <w:rPr>
          <w:rFonts w:ascii="Calibri" w:hAnsi="Calibri" w:cs="Calibri"/>
        </w:rPr>
        <w:t>á</w:t>
      </w:r>
      <w:r w:rsidRPr="00E65B61">
        <w:rPr>
          <w:rFonts w:cstheme="minorHAnsi"/>
        </w:rPr>
        <w:t>lyra való tekintet nélkül</w:t>
      </w:r>
      <w:r w:rsidRPr="00E65B61">
        <w:rPr>
          <w:rFonts w:cstheme="minorHAnsi"/>
        </w:rPr>
        <w:t>.</w:t>
      </w:r>
    </w:p>
    <w:p w14:paraId="4B2EFCCF" w14:textId="2A3A98F1" w:rsidR="00E65B61" w:rsidRPr="00E65B61" w:rsidRDefault="00E65B61" w:rsidP="00E65B61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65B61">
        <w:rPr>
          <w:rFonts w:asciiTheme="minorHAnsi" w:hAnsiTheme="minorHAnsi" w:cstheme="minorHAnsi"/>
          <w:b/>
          <w:bCs/>
          <w:sz w:val="22"/>
          <w:szCs w:val="22"/>
        </w:rPr>
        <w:t xml:space="preserve">Leválasztás </w:t>
      </w:r>
      <w:r w:rsidRPr="00E65B61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65B61">
        <w:rPr>
          <w:rFonts w:asciiTheme="minorHAnsi" w:hAnsiTheme="minorHAnsi" w:cstheme="minorHAnsi"/>
          <w:b/>
          <w:bCs/>
          <w:sz w:val="22"/>
          <w:szCs w:val="22"/>
        </w:rPr>
        <w:t>detachment</w:t>
      </w:r>
      <w:proofErr w:type="spellEnd"/>
      <w:r w:rsidRPr="00E65B61">
        <w:rPr>
          <w:rFonts w:asciiTheme="minorHAnsi" w:hAnsiTheme="minorHAnsi" w:cstheme="minorHAnsi"/>
          <w:sz w:val="22"/>
          <w:szCs w:val="22"/>
        </w:rPr>
        <w:t xml:space="preserve">): ha egyszer találtunk egy logikai bizonyítást </w:t>
      </w:r>
      <w:r w:rsidRPr="00E65B61">
        <w:rPr>
          <w:rFonts w:asciiTheme="minorHAnsi" w:hAnsiTheme="minorHAnsi" w:cstheme="minorHAnsi"/>
          <w:i/>
          <w:iCs/>
          <w:sz w:val="22"/>
          <w:szCs w:val="22"/>
        </w:rPr>
        <w:t xml:space="preserve">B </w:t>
      </w:r>
      <w:r w:rsidRPr="00E65B61">
        <w:rPr>
          <w:rFonts w:asciiTheme="minorHAnsi" w:hAnsiTheme="minorHAnsi" w:cstheme="minorHAnsi"/>
          <w:sz w:val="22"/>
          <w:szCs w:val="22"/>
        </w:rPr>
        <w:t xml:space="preserve">állítás kikövetkeztetéséhez, az állítást tetszés szerint felhasználhatjuk, a származtatásától függetlenül. Vagyis </w:t>
      </w:r>
      <w:r w:rsidRPr="00E65B61">
        <w:rPr>
          <w:rFonts w:asciiTheme="minorHAnsi" w:hAnsiTheme="minorHAnsi" w:cstheme="minorHAnsi"/>
          <w:b/>
          <w:bCs/>
          <w:sz w:val="22"/>
          <w:szCs w:val="22"/>
        </w:rPr>
        <w:t xml:space="preserve">leválasztható </w:t>
      </w:r>
      <w:r w:rsidRPr="00E65B61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65B61">
        <w:rPr>
          <w:rFonts w:asciiTheme="minorHAnsi" w:hAnsiTheme="minorHAnsi" w:cstheme="minorHAnsi"/>
          <w:b/>
          <w:bCs/>
          <w:sz w:val="22"/>
          <w:szCs w:val="22"/>
        </w:rPr>
        <w:t>detached</w:t>
      </w:r>
      <w:proofErr w:type="spellEnd"/>
      <w:r w:rsidRPr="00E65B61">
        <w:rPr>
          <w:rFonts w:asciiTheme="minorHAnsi" w:hAnsiTheme="minorHAnsi" w:cstheme="minorHAnsi"/>
          <w:sz w:val="22"/>
          <w:szCs w:val="22"/>
        </w:rPr>
        <w:t>) a megokolásaitól.</w:t>
      </w:r>
    </w:p>
    <w:p w14:paraId="10843B21" w14:textId="2BFBF8D7" w:rsidR="00E65B61" w:rsidRPr="00E65B61" w:rsidRDefault="00E65B61" w:rsidP="00E65B61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65B61">
        <w:rPr>
          <w:rFonts w:asciiTheme="minorHAnsi" w:hAnsiTheme="minorHAnsi" w:cstheme="minorHAnsi"/>
          <w:b/>
          <w:bCs/>
          <w:sz w:val="22"/>
          <w:szCs w:val="22"/>
        </w:rPr>
        <w:t xml:space="preserve">Igazságfüggvény </w:t>
      </w:r>
      <w:r w:rsidRPr="00E65B61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65B61">
        <w:rPr>
          <w:rFonts w:asciiTheme="minorHAnsi" w:hAnsiTheme="minorHAnsi" w:cstheme="minorHAnsi"/>
          <w:b/>
          <w:bCs/>
          <w:sz w:val="22"/>
          <w:szCs w:val="22"/>
        </w:rPr>
        <w:t>truth-functionality</w:t>
      </w:r>
      <w:proofErr w:type="spellEnd"/>
      <w:r w:rsidRPr="00E65B61">
        <w:rPr>
          <w:rFonts w:asciiTheme="minorHAnsi" w:hAnsiTheme="minorHAnsi" w:cstheme="minorHAnsi"/>
          <w:sz w:val="22"/>
          <w:szCs w:val="22"/>
        </w:rPr>
        <w:t>): a logikában az összetett kifejezések igazságértéke kiszámítható az alkotóinak igazságértékéből.</w:t>
      </w:r>
    </w:p>
    <w:p w14:paraId="3EBCA059" w14:textId="77777777" w:rsidR="00E65B61" w:rsidRPr="00E65B61" w:rsidRDefault="00E65B61" w:rsidP="00E65B61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3D0161DC" w14:textId="0EFE87BD" w:rsidR="00E65B61" w:rsidRPr="00E65B61" w:rsidRDefault="00E65B61" w:rsidP="00E65B61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E65B61">
        <w:rPr>
          <w:rFonts w:asciiTheme="minorHAnsi" w:hAnsiTheme="minorHAnsi" w:cstheme="minorHAnsi"/>
          <w:b/>
          <w:bCs/>
          <w:sz w:val="26"/>
          <w:szCs w:val="26"/>
        </w:rPr>
        <w:t xml:space="preserve">7.2. Az ismerethiány reprezentálása: a </w:t>
      </w:r>
      <w:proofErr w:type="spellStart"/>
      <w:r w:rsidRPr="00E65B61">
        <w:rPr>
          <w:rFonts w:asciiTheme="minorHAnsi" w:hAnsiTheme="minorHAnsi" w:cstheme="minorHAnsi"/>
          <w:b/>
          <w:bCs/>
          <w:sz w:val="26"/>
          <w:szCs w:val="26"/>
        </w:rPr>
        <w:t>Dempster</w:t>
      </w:r>
      <w:proofErr w:type="spellEnd"/>
      <w:r w:rsidRPr="00E65B61">
        <w:rPr>
          <w:rFonts w:asciiTheme="minorHAnsi" w:hAnsiTheme="minorHAnsi" w:cstheme="minorHAnsi"/>
          <w:b/>
          <w:bCs/>
          <w:sz w:val="26"/>
          <w:szCs w:val="26"/>
        </w:rPr>
        <w:t>–</w:t>
      </w:r>
      <w:proofErr w:type="spellStart"/>
      <w:r w:rsidRPr="00E65B61">
        <w:rPr>
          <w:rFonts w:asciiTheme="minorHAnsi" w:hAnsiTheme="minorHAnsi" w:cstheme="minorHAnsi"/>
          <w:b/>
          <w:bCs/>
          <w:sz w:val="26"/>
          <w:szCs w:val="26"/>
        </w:rPr>
        <w:t>Shafer</w:t>
      </w:r>
      <w:proofErr w:type="spellEnd"/>
      <w:r w:rsidRPr="00E65B61">
        <w:rPr>
          <w:rFonts w:asciiTheme="minorHAnsi" w:hAnsiTheme="minorHAnsi" w:cstheme="minorHAnsi"/>
          <w:b/>
          <w:bCs/>
          <w:sz w:val="26"/>
          <w:szCs w:val="26"/>
        </w:rPr>
        <w:t>-elmélet</w:t>
      </w:r>
      <w:r w:rsidRPr="00E65B61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7B5CDAFC" w14:textId="37ED3736" w:rsidR="00E65B61" w:rsidRDefault="00E65B61" w:rsidP="00E65B6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65B61">
        <w:rPr>
          <w:rFonts w:asciiTheme="minorHAnsi" w:hAnsiTheme="minorHAnsi" w:cstheme="minorHAnsi"/>
          <w:sz w:val="22"/>
          <w:szCs w:val="22"/>
        </w:rPr>
        <w:t>A</w:t>
      </w:r>
      <w:r w:rsidRPr="00E65B61">
        <w:rPr>
          <w:rFonts w:asciiTheme="minorHAnsi" w:hAnsiTheme="minorHAnsi" w:cstheme="minorHAnsi"/>
          <w:sz w:val="22"/>
          <w:szCs w:val="22"/>
        </w:rPr>
        <w:t>zzal a céllal hozták létre, hogy megkülönböztethetővé váljon a bizonytalanság (</w:t>
      </w:r>
      <w:proofErr w:type="spellStart"/>
      <w:r w:rsidRPr="00E65B61">
        <w:rPr>
          <w:rFonts w:asciiTheme="minorHAnsi" w:hAnsiTheme="minorHAnsi" w:cstheme="minorHAnsi"/>
          <w:sz w:val="22"/>
          <w:szCs w:val="22"/>
        </w:rPr>
        <w:t>uncertainty</w:t>
      </w:r>
      <w:proofErr w:type="spellEnd"/>
      <w:r w:rsidRPr="00E65B61">
        <w:rPr>
          <w:rFonts w:asciiTheme="minorHAnsi" w:hAnsiTheme="minorHAnsi" w:cstheme="minorHAnsi"/>
          <w:sz w:val="22"/>
          <w:szCs w:val="22"/>
        </w:rPr>
        <w:t>) és az ismerethiány (</w:t>
      </w:r>
      <w:proofErr w:type="spellStart"/>
      <w:r w:rsidRPr="00E65B61">
        <w:rPr>
          <w:rFonts w:asciiTheme="minorHAnsi" w:hAnsiTheme="minorHAnsi" w:cstheme="minorHAnsi"/>
          <w:sz w:val="22"/>
          <w:szCs w:val="22"/>
        </w:rPr>
        <w:t>ignorance</w:t>
      </w:r>
      <w:proofErr w:type="spellEnd"/>
      <w:r w:rsidRPr="00E65B61">
        <w:rPr>
          <w:rFonts w:asciiTheme="minorHAnsi" w:hAnsiTheme="minorHAnsi" w:cstheme="minorHAnsi"/>
          <w:sz w:val="22"/>
          <w:szCs w:val="22"/>
        </w:rPr>
        <w:t>). Ez az elmélet egy állításnak nem a valószínűségét számítja ki, hanem helyette azt, hogy mennyi annak a valószínűsége, hogy a bizonyíték támogatja az állítást.</w:t>
      </w:r>
    </w:p>
    <w:p w14:paraId="333ADCBC" w14:textId="77777777" w:rsidR="0057701B" w:rsidRDefault="0057701B" w:rsidP="00E65B6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679B55" w14:textId="18410C6F" w:rsidR="0057701B" w:rsidRDefault="0057701B" w:rsidP="00E65B6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PÉLDA: </w:t>
      </w:r>
    </w:p>
    <w:p w14:paraId="545FD725" w14:textId="70FDE273" w:rsidR="0057701B" w:rsidRDefault="0057701B" w:rsidP="0057701B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57701B">
        <w:rPr>
          <w:rFonts w:asciiTheme="minorHAnsi" w:hAnsiTheme="minorHAnsi" w:cstheme="minorHAnsi"/>
          <w:sz w:val="22"/>
          <w:szCs w:val="22"/>
        </w:rPr>
        <w:t xml:space="preserve">Most visszatérünk a pénzérmés példánkhoz, a bizonyosságfüggvény bemutatásához. Tételezzük fel, hogy egy rossz kinézetű alak odamegy önhöz és felajánlja, hogy fogadjon 1000 forintba, hogy a következő esetben fej lesz az eredmény. Mivel az érme lehet szabályos, de lehet szabálytalan is, milyen bizonyosságot kell ahhoz az eseményhez rendelni, hogy a következő eredmény fej lesz? A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Dempster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–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Shafer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-elmélet szerint mivel nincs bizonyíték egyik esetre sem, így azt kell mondani, hogy a bizonyosság </w:t>
      </w:r>
      <w:proofErr w:type="gramStart"/>
      <w:r w:rsidRPr="0057701B">
        <w:rPr>
          <w:rFonts w:asciiTheme="minorHAnsi" w:hAnsiTheme="minorHAnsi" w:cstheme="minorHAnsi"/>
          <w:sz w:val="22"/>
          <w:szCs w:val="22"/>
        </w:rPr>
        <w:t>Bel(</w:t>
      </w:r>
      <w:proofErr w:type="gramEnd"/>
      <w:r w:rsidRPr="0057701B">
        <w:rPr>
          <w:rFonts w:asciiTheme="minorHAnsi" w:hAnsiTheme="minorHAnsi" w:cstheme="minorHAnsi"/>
          <w:sz w:val="22"/>
          <w:szCs w:val="22"/>
        </w:rPr>
        <w:t xml:space="preserve">Fej) = 0 és Bel(¬Fej) = 0. Ez szkeptikussá teszi a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Dempster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–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Shafer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-elméletet használó következtető rendszereket, aminek van egy intuitív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vonzereje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. Most tegyük fel, hogy rendelkezésre áll egy szakértő, aki 90%-os bizonyossággal tanúsítja, hogy az érme szabályos (azaz 90%-ban biztos, hogy P(Fej) = 0,5). Ekkor a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Dempster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–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Shafer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-elmélet azt adja, hogy </w:t>
      </w:r>
      <w:proofErr w:type="gramStart"/>
      <w:r w:rsidRPr="0057701B">
        <w:rPr>
          <w:rFonts w:asciiTheme="minorHAnsi" w:hAnsiTheme="minorHAnsi" w:cstheme="minorHAnsi"/>
          <w:sz w:val="22"/>
          <w:szCs w:val="22"/>
        </w:rPr>
        <w:t>Bel(</w:t>
      </w:r>
      <w:proofErr w:type="gramEnd"/>
      <w:r w:rsidRPr="0057701B">
        <w:rPr>
          <w:rFonts w:asciiTheme="minorHAnsi" w:hAnsiTheme="minorHAnsi" w:cstheme="minorHAnsi"/>
          <w:sz w:val="22"/>
          <w:szCs w:val="22"/>
        </w:rPr>
        <w:t>Fej) = 0,9 × 0,5 = 0,45, és hasonlóan Bel(¬Fej) = 0,9 × 0,5 = 0,45. Ekkor még mindig 10% az a „hiány”, amit a tényeink nem fednek le. „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Dempster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 szabálya” (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Dempster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, 1968) megmutatja, hogy hogyan kombináljunk tényeket, hogy új Bel értéket kapjunk,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Shafer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 munkája pedig ezt egy teljes számítási modellként fogalmazta meg.</w:t>
      </w:r>
    </w:p>
    <w:p w14:paraId="35D59BE2" w14:textId="77777777" w:rsid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5A7722D" w14:textId="77777777" w:rsid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E3E575" w14:textId="1784EF34" w:rsidR="0057701B" w:rsidRPr="0057701B" w:rsidRDefault="0057701B" w:rsidP="0057701B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7701B">
        <w:rPr>
          <w:rFonts w:asciiTheme="minorHAnsi" w:hAnsiTheme="minorHAnsi" w:cstheme="minorHAnsi"/>
          <w:b/>
          <w:bCs/>
          <w:sz w:val="26"/>
          <w:szCs w:val="26"/>
        </w:rPr>
        <w:t>7.3. A meghatározatlanság reprezentálása: fuzzy halmazok és logikák</w:t>
      </w:r>
      <w:r w:rsidRPr="0057701B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6BAE36D0" w14:textId="118A2B76" w:rsid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701B">
        <w:rPr>
          <w:rFonts w:asciiTheme="minorHAnsi" w:hAnsiTheme="minorHAnsi" w:cstheme="minorHAnsi"/>
          <w:sz w:val="22"/>
          <w:szCs w:val="22"/>
        </w:rPr>
        <w:t xml:space="preserve">A fuzzy halmazok elmélete (fuzzy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set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theory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) egy eszköz annak specifikálására, hogy egy objektum milyen mértékben illeszkedik egy bizonytalan leíráshoz. Például fontoljuk meg azt az állítást, hogy „Nóri magas”. Igaz ez akkor, ha Nóri 175 cm magas? A legtöbb ember vonakodna „igent” vagy „nemet” mondani, és inkább azt választaná, hogy „olyasmi”. Látható, hogy ez nem egy külső világra vonatkozó bizonytalanság – mi biztosak vagyunk Nóri magasságában. A probléma az, hogy a „magas” nyelvi kifejezés nem az objektumok éles kettéosztását jelenti – a magasságnak fokozatai vannak. Ezért a legtöbb szerző szerint a fuzzy halmazelmélet egyáltalán nem használható bizonytalansági következtetésekre. Ehelyett a fuzzy halmazelmélet a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MagasSzemély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-t egy fuzzy predikátumnak tekinti, aminek az igazságértéke inkább egy 0 és 1 közötti érték, mint hogy igaz vagy hamis lenne. A „fuzzy halmaz” név a predikátum értelmezéséből származik, ahogyan implicite definiálja a halmaz tagjait – egy halmazt, aminek nincsenek éles határai.</w:t>
      </w:r>
    </w:p>
    <w:p w14:paraId="54B67575" w14:textId="11FFBC83" w:rsid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701B">
        <w:rPr>
          <w:rFonts w:asciiTheme="minorHAnsi" w:hAnsiTheme="minorHAnsi" w:cstheme="minorHAnsi"/>
          <w:sz w:val="22"/>
          <w:szCs w:val="22"/>
        </w:rPr>
        <w:t xml:space="preserve">A fuzzy logika (fuzzy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logic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) egy eljárás olyan logikai kifejezésekkel való következtetésre, amelyek fuzzy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halmazbeli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 xml:space="preserve"> tagsági állításokat írnak le. Például annak az összetett kifejezésnek, hogy </w:t>
      </w:r>
      <w:proofErr w:type="spellStart"/>
      <w:proofErr w:type="gramStart"/>
      <w:r w:rsidRPr="0057701B">
        <w:rPr>
          <w:rFonts w:asciiTheme="minorHAnsi" w:hAnsiTheme="minorHAnsi" w:cstheme="minorHAnsi"/>
          <w:sz w:val="22"/>
          <w:szCs w:val="22"/>
        </w:rPr>
        <w:lastRenderedPageBreak/>
        <w:t>MagasSzemély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7701B">
        <w:rPr>
          <w:rFonts w:asciiTheme="minorHAnsi" w:hAnsiTheme="minorHAnsi" w:cstheme="minorHAnsi"/>
          <w:sz w:val="22"/>
          <w:szCs w:val="22"/>
        </w:rPr>
        <w:t xml:space="preserve">Nóri) </w:t>
      </w:r>
      <w:r w:rsidRPr="0057701B">
        <w:rPr>
          <w:rFonts w:ascii="Cambria Math" w:hAnsi="Cambria Math" w:cs="Cambria Math"/>
          <w:sz w:val="22"/>
          <w:szCs w:val="22"/>
        </w:rPr>
        <w:t>∨</w:t>
      </w:r>
      <w:r w:rsidRPr="0057701B">
        <w:rPr>
          <w:rFonts w:asciiTheme="minorHAnsi" w:hAnsiTheme="minorHAnsi" w:cstheme="minorHAnsi"/>
          <w:sz w:val="22"/>
          <w:szCs w:val="22"/>
        </w:rPr>
        <w:t xml:space="preserve"> Neh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z(N</w:t>
      </w:r>
      <w:r w:rsidRPr="0057701B">
        <w:rPr>
          <w:rFonts w:ascii="Calibri" w:hAnsi="Calibri" w:cs="Calibri"/>
          <w:sz w:val="22"/>
          <w:szCs w:val="22"/>
        </w:rPr>
        <w:t>ó</w:t>
      </w:r>
      <w:r w:rsidRPr="0057701B">
        <w:rPr>
          <w:rFonts w:asciiTheme="minorHAnsi" w:hAnsiTheme="minorHAnsi" w:cstheme="minorHAnsi"/>
          <w:sz w:val="22"/>
          <w:szCs w:val="22"/>
        </w:rPr>
        <w:t>ri) van fuzzy igazs</w:t>
      </w:r>
      <w:r w:rsidRPr="0057701B">
        <w:rPr>
          <w:rFonts w:ascii="Calibri" w:hAnsi="Calibri" w:cs="Calibri"/>
          <w:sz w:val="22"/>
          <w:szCs w:val="22"/>
        </w:rPr>
        <w:t>á</w:t>
      </w:r>
      <w:r w:rsidRPr="0057701B">
        <w:rPr>
          <w:rFonts w:asciiTheme="minorHAnsi" w:hAnsiTheme="minorHAnsi" w:cstheme="minorHAnsi"/>
          <w:sz w:val="22"/>
          <w:szCs w:val="22"/>
        </w:rPr>
        <w:t>g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rt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ke, ami a kifejez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sben l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v</w:t>
      </w:r>
      <w:r w:rsidRPr="0057701B">
        <w:rPr>
          <w:rFonts w:ascii="Calibri" w:hAnsi="Calibri" w:cs="Calibri"/>
          <w:sz w:val="22"/>
          <w:szCs w:val="22"/>
        </w:rPr>
        <w:t>ő</w:t>
      </w:r>
      <w:r w:rsidRPr="0057701B">
        <w:rPr>
          <w:rFonts w:asciiTheme="minorHAnsi" w:hAnsiTheme="minorHAnsi" w:cstheme="minorHAnsi"/>
          <w:sz w:val="22"/>
          <w:szCs w:val="22"/>
        </w:rPr>
        <w:t xml:space="preserve"> komponensek igazs</w:t>
      </w:r>
      <w:r w:rsidRPr="0057701B">
        <w:rPr>
          <w:rFonts w:ascii="Calibri" w:hAnsi="Calibri" w:cs="Calibri"/>
          <w:sz w:val="22"/>
          <w:szCs w:val="22"/>
        </w:rPr>
        <w:t>á</w:t>
      </w:r>
      <w:r w:rsidRPr="0057701B">
        <w:rPr>
          <w:rFonts w:asciiTheme="minorHAnsi" w:hAnsiTheme="minorHAnsi" w:cstheme="minorHAnsi"/>
          <w:sz w:val="22"/>
          <w:szCs w:val="22"/>
        </w:rPr>
        <w:t>g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rt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keinek a f</w:t>
      </w:r>
      <w:r w:rsidRPr="0057701B">
        <w:rPr>
          <w:rFonts w:ascii="Calibri" w:hAnsi="Calibri" w:cs="Calibri"/>
          <w:sz w:val="22"/>
          <w:szCs w:val="22"/>
        </w:rPr>
        <w:t>ü</w:t>
      </w:r>
      <w:r w:rsidRPr="0057701B">
        <w:rPr>
          <w:rFonts w:asciiTheme="minorHAnsi" w:hAnsiTheme="minorHAnsi" w:cstheme="minorHAnsi"/>
          <w:sz w:val="22"/>
          <w:szCs w:val="22"/>
        </w:rPr>
        <w:t>ggv</w:t>
      </w:r>
      <w:r w:rsidRPr="0057701B">
        <w:rPr>
          <w:rFonts w:ascii="Calibri" w:hAnsi="Calibri" w:cs="Calibri"/>
          <w:sz w:val="22"/>
          <w:szCs w:val="22"/>
        </w:rPr>
        <w:t>é</w:t>
      </w:r>
      <w:r w:rsidRPr="0057701B">
        <w:rPr>
          <w:rFonts w:asciiTheme="minorHAnsi" w:hAnsiTheme="minorHAnsi" w:cstheme="minorHAnsi"/>
          <w:sz w:val="22"/>
          <w:szCs w:val="22"/>
        </w:rPr>
        <w:t>nye.</w:t>
      </w:r>
    </w:p>
    <w:p w14:paraId="47D85678" w14:textId="77777777" w:rsidR="0057701B" w:rsidRP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701B">
        <w:rPr>
          <w:rFonts w:asciiTheme="minorHAnsi" w:hAnsiTheme="minorHAnsi" w:cstheme="minorHAnsi"/>
          <w:sz w:val="22"/>
          <w:szCs w:val="22"/>
        </w:rPr>
        <w:t>Egy összetett kifejezés T fuzzy igazságértékének a kiértékelésére a következő alapvető szabályok szolgálnak:</w:t>
      </w:r>
    </w:p>
    <w:p w14:paraId="517A21D1" w14:textId="77777777" w:rsidR="0057701B" w:rsidRPr="0057701B" w:rsidRDefault="0057701B" w:rsidP="0057701B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proofErr w:type="gramStart"/>
      <w:r w:rsidRPr="0057701B">
        <w:rPr>
          <w:rFonts w:asciiTheme="minorHAnsi" w:hAnsiTheme="minorHAnsi" w:cstheme="minorHAnsi"/>
          <w:sz w:val="22"/>
          <w:szCs w:val="22"/>
        </w:rPr>
        <w:t>T(</w:t>
      </w:r>
      <w:proofErr w:type="gramEnd"/>
      <w:r w:rsidRPr="0057701B">
        <w:rPr>
          <w:rFonts w:asciiTheme="minorHAnsi" w:hAnsiTheme="minorHAnsi" w:cstheme="minorHAnsi"/>
          <w:sz w:val="22"/>
          <w:szCs w:val="22"/>
        </w:rPr>
        <w:t xml:space="preserve">A </w:t>
      </w:r>
      <w:r w:rsidRPr="0057701B">
        <w:rPr>
          <w:rFonts w:ascii="Cambria Math" w:hAnsi="Cambria Math" w:cs="Cambria Math"/>
          <w:sz w:val="22"/>
          <w:szCs w:val="22"/>
        </w:rPr>
        <w:t>∧</w:t>
      </w:r>
      <w:r w:rsidRPr="0057701B">
        <w:rPr>
          <w:rFonts w:asciiTheme="minorHAnsi" w:hAnsiTheme="minorHAnsi" w:cstheme="minorHAnsi"/>
          <w:sz w:val="22"/>
          <w:szCs w:val="22"/>
        </w:rPr>
        <w:t xml:space="preserve"> B) = min(T(A), T(B))</w:t>
      </w:r>
    </w:p>
    <w:p w14:paraId="5570422A" w14:textId="77777777" w:rsidR="0057701B" w:rsidRPr="0057701B" w:rsidRDefault="0057701B" w:rsidP="0057701B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proofErr w:type="gramStart"/>
      <w:r w:rsidRPr="0057701B">
        <w:rPr>
          <w:rFonts w:asciiTheme="minorHAnsi" w:hAnsiTheme="minorHAnsi" w:cstheme="minorHAnsi"/>
          <w:sz w:val="22"/>
          <w:szCs w:val="22"/>
        </w:rPr>
        <w:t>T(</w:t>
      </w:r>
      <w:proofErr w:type="gramEnd"/>
      <w:r w:rsidRPr="0057701B">
        <w:rPr>
          <w:rFonts w:asciiTheme="minorHAnsi" w:hAnsiTheme="minorHAnsi" w:cstheme="minorHAnsi"/>
          <w:sz w:val="22"/>
          <w:szCs w:val="22"/>
        </w:rPr>
        <w:t xml:space="preserve">A </w:t>
      </w:r>
      <w:r w:rsidRPr="0057701B">
        <w:rPr>
          <w:rFonts w:ascii="Cambria Math" w:hAnsi="Cambria Math" w:cs="Cambria Math"/>
          <w:sz w:val="22"/>
          <w:szCs w:val="22"/>
        </w:rPr>
        <w:t>∨</w:t>
      </w:r>
      <w:r w:rsidRPr="0057701B">
        <w:rPr>
          <w:rFonts w:asciiTheme="minorHAnsi" w:hAnsiTheme="minorHAnsi" w:cstheme="minorHAnsi"/>
          <w:sz w:val="22"/>
          <w:szCs w:val="22"/>
        </w:rPr>
        <w:t xml:space="preserve"> B) =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max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(T(A), T(B))</w:t>
      </w:r>
    </w:p>
    <w:p w14:paraId="7567A1D4" w14:textId="4EA72D08" w:rsidR="0057701B" w:rsidRDefault="0057701B" w:rsidP="0057701B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57701B">
        <w:rPr>
          <w:rFonts w:asciiTheme="minorHAnsi" w:hAnsiTheme="minorHAnsi" w:cstheme="minorHAnsi"/>
          <w:sz w:val="22"/>
          <w:szCs w:val="22"/>
        </w:rPr>
        <w:t>T(¬A) = 1 – T(A)</w:t>
      </w:r>
    </w:p>
    <w:p w14:paraId="39F8A473" w14:textId="77777777" w:rsid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EFDEE5" w14:textId="6E3AFBAE" w:rsidR="0057701B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701B">
        <w:rPr>
          <w:rFonts w:asciiTheme="minorHAnsi" w:hAnsiTheme="minorHAnsi" w:cstheme="minorHAnsi"/>
          <w:sz w:val="22"/>
          <w:szCs w:val="22"/>
        </w:rPr>
        <w:t xml:space="preserve">A fuzzy szabályozás (fuzzy </w:t>
      </w:r>
      <w:proofErr w:type="spellStart"/>
      <w:r w:rsidRPr="0057701B">
        <w:rPr>
          <w:rFonts w:asciiTheme="minorHAnsi" w:hAnsiTheme="minorHAnsi" w:cstheme="minorHAnsi"/>
          <w:sz w:val="22"/>
          <w:szCs w:val="22"/>
        </w:rPr>
        <w:t>control</w:t>
      </w:r>
      <w:proofErr w:type="spellEnd"/>
      <w:r w:rsidRPr="0057701B">
        <w:rPr>
          <w:rFonts w:asciiTheme="minorHAnsi" w:hAnsiTheme="minorHAnsi" w:cstheme="minorHAnsi"/>
          <w:sz w:val="22"/>
          <w:szCs w:val="22"/>
        </w:rPr>
        <w:t>) egy metodológia olyan szabályozási rendszerek alkotására, amelyekben a valós értékű bemenetek leképezését a kimeneti paraméterekre fuzzy szabályok reprezentálják. A fuzzy szabályozás nagyon sikeresnek bizonyult olyan kereskedelmi termékekben, mint az automatikus sebességváltók, a videokamerák és a villanyborotvák.</w:t>
      </w:r>
    </w:p>
    <w:p w14:paraId="27C64E9F" w14:textId="77777777" w:rsidR="0057701B" w:rsidRPr="00E65B61" w:rsidRDefault="0057701B" w:rsidP="0057701B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57701B" w:rsidRPr="00E6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28AC"/>
    <w:multiLevelType w:val="hybridMultilevel"/>
    <w:tmpl w:val="ECD43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9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61"/>
    <w:rsid w:val="000E13B0"/>
    <w:rsid w:val="001F04BE"/>
    <w:rsid w:val="0057701B"/>
    <w:rsid w:val="00E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00FC"/>
  <w15:chartTrackingRefBased/>
  <w15:docId w15:val="{00A57B46-9E1B-4B4E-A89F-E2FAF2E2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5B61"/>
    <w:pPr>
      <w:ind w:left="720"/>
      <w:contextualSpacing/>
    </w:pPr>
  </w:style>
  <w:style w:type="paragraph" w:customStyle="1" w:styleId="Default">
    <w:name w:val="Default"/>
    <w:rsid w:val="00E65B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546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LEHEL-BARNA VAJDA</cp:lastModifiedBy>
  <cp:revision>1</cp:revision>
  <dcterms:created xsi:type="dcterms:W3CDTF">2023-07-08T07:39:00Z</dcterms:created>
  <dcterms:modified xsi:type="dcterms:W3CDTF">2023-07-08T07:55:00Z</dcterms:modified>
</cp:coreProperties>
</file>