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b w:val="1"/>
          <w:bCs w:val="1"/>
          <w:rtl w:val="0"/>
          <w:lang w:val="en-US"/>
        </w:rPr>
        <w:t>Lab 1: Requirements Engineering &amp; UML Use-Case Modelling</w:t>
      </w:r>
    </w:p>
    <w:p>
      <w:pPr>
        <w:pStyle w:val="Heading"/>
        <w:jc w:val="center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Warehouse Inventory &amp; Pallet Location Tracker </w:t>
      </w:r>
    </w:p>
    <w:p>
      <w:pPr>
        <w:pStyle w:val="Heading"/>
        <w:jc w:val="center"/>
      </w:pPr>
    </w:p>
    <w:p>
      <w:pPr>
        <w:pStyle w:val="Heading 2"/>
      </w:pPr>
      <w:r>
        <w:rPr>
          <w:b w:val="1"/>
          <w:bCs w:val="1"/>
          <w:rtl w:val="0"/>
          <w:lang w:val="en-US"/>
        </w:rPr>
        <w:t>1. Requirements Table</w:t>
      </w:r>
    </w:p>
    <w:tbl>
      <w:tblPr>
        <w:tblW w:w="14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1300"/>
        <w:gridCol w:w="4600"/>
        <w:gridCol w:w="900"/>
        <w:gridCol w:w="3800"/>
        <w:gridCol w:w="290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Req ID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Priority</w:t>
            </w:r>
          </w:p>
        </w:tc>
        <w:tc>
          <w:tcPr>
            <w:tcW w:type="dxa" w:w="3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Acceptance Criteria</w:t>
            </w:r>
          </w:p>
        </w:tc>
        <w:tc>
          <w:tcPr>
            <w:tcW w:type="dxa" w:w="2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Rationale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FR-001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validate proposed pallet placement coordinates against the rack maximum load capacity before confirming storage.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3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Pallet assigned to a valid rack. Fail: Placement permitted on a rack where total weight exceeds its rated structural limit.</w:t>
            </w:r>
          </w:p>
        </w:tc>
        <w:tc>
          <w:tcPr>
            <w:tcW w:type="dxa" w:w="2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Prevents structural failure and safety hazards from overloaded racks.</w:t>
            </w:r>
          </w:p>
        </w:tc>
      </w:tr>
      <w:tr>
        <w:tblPrEx>
          <w:shd w:val="clear" w:color="auto" w:fill="ced7e7"/>
        </w:tblPrEx>
        <w:trPr>
          <w:trHeight w:val="917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FR-002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allow a Warehouse Operator to scan a pallet's barcode or RFID tag to capture its unique Pallet ID before any storage or retrieval action.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3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A single scan populates the Pallet ID field with 100% read accuracy within 2 seconds. Fail: Pallet ID is not captured, or capture takes longer than 2 seconds.</w:t>
            </w:r>
          </w:p>
        </w:tc>
        <w:tc>
          <w:tcPr>
            <w:tcW w:type="dxa" w:w="2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Accurate identification is a prerequisite for location tracking and load validation.</w:t>
            </w:r>
          </w:p>
        </w:tc>
      </w:tr>
      <w:tr>
        <w:tblPrEx>
          <w:shd w:val="clear" w:color="auto" w:fill="ced7e7"/>
        </w:tblPrEx>
        <w:trPr>
          <w:trHeight w:val="917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FR-003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log every stock movement event (inbound, outbound, relocation) with Pallet ID, timestamp, source coordinate, and destination coordinate.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3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Querying the movement history for any pallet returns a complete, chronological record of all movements. Fail: Any movement event is missing from the log.</w:t>
            </w:r>
          </w:p>
        </w:tc>
        <w:tc>
          <w:tcPr>
            <w:tcW w:type="dxa" w:w="2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Full traceability is required for inventory audits and loss prevention.</w:t>
            </w:r>
          </w:p>
        </w:tc>
      </w:tr>
      <w:tr>
        <w:tblPrEx>
          <w:shd w:val="clear" w:color="auto" w:fill="ced7e7"/>
        </w:tblPrEx>
        <w:trPr>
          <w:trHeight w:val="917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</w:rPr>
              <w:t>FR-004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allow a Logistics Supervisor to retrieve the current 3D shelf coordinates (aisle, rack, shelf) of any pallet by SKU or Pallet ID.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Medium</w:t>
            </w:r>
          </w:p>
        </w:tc>
        <w:tc>
          <w:tcPr>
            <w:tcW w:type="dxa" w:w="3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Query returns the aisle/rack/shelf coordinate matching the pallet's last confirmed placement. Fail: Query returns a stale or incorrect coordinate.</w:t>
            </w:r>
          </w:p>
        </w:tc>
        <w:tc>
          <w:tcPr>
            <w:tcW w:type="dxa" w:w="2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Enables efficient retrieval planning and reduces manual search time.</w:t>
            </w:r>
          </w:p>
        </w:tc>
      </w:tr>
      <w:tr>
        <w:tblPrEx>
          <w:shd w:val="clear" w:color="auto" w:fill="ced7e7"/>
        </w:tblPrEx>
        <w:trPr>
          <w:trHeight w:val="917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</w:rPr>
              <w:t>FR-005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allow a Warehouse Operator to request an override of a rejected pallet placement, routing the request to a Logistics Supervisor for approval before storage is confirmed.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Medium</w:t>
            </w:r>
          </w:p>
        </w:tc>
        <w:tc>
          <w:tcPr>
            <w:tcW w:type="dxa" w:w="3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A rejected placement cannot be confirmed without a recorded Supervisor-approval entry. Fail: A pallet is stored on an over-limit rack without an approval record.</w:t>
            </w:r>
          </w:p>
        </w:tc>
        <w:tc>
          <w:tcPr>
            <w:tcW w:type="dxa" w:w="2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Provides controlled flexibility for edge cases while preserving accountability.</w:t>
            </w:r>
          </w:p>
        </w:tc>
      </w:tr>
      <w:tr>
        <w:tblPrEx>
          <w:shd w:val="clear" w:color="auto" w:fill="ced7e7"/>
        </w:tblPrEx>
        <w:trPr>
          <w:trHeight w:val="1155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NFR-001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Nonfunctional (Performance &amp; Security)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warehouse item lookup service must locate any SKU pallet coordinate across 100,000 bins in under 100 ms.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3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Benchmark tests confirm the target latency and security standards under simulated peak load. Fail: Median lookup latency exceeds 100 ms, or the endpoint is reachable without authentication.</w:t>
            </w:r>
          </w:p>
        </w:tc>
        <w:tc>
          <w:tcPr>
            <w:tcW w:type="dxa" w:w="2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Fast, secure lookup is required to keep operator workflows productive during peak throughput.</w:t>
            </w:r>
          </w:p>
        </w:tc>
      </w:tr>
      <w:tr>
        <w:tblPrEx>
          <w:shd w:val="clear" w:color="auto" w:fill="ced7e7"/>
        </w:tblPrEx>
        <w:trPr>
          <w:trHeight w:val="1155" w:hRule="atLeast"/>
        </w:trPr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NFR-002</w:t>
            </w:r>
          </w:p>
        </w:tc>
        <w:tc>
          <w:tcPr>
            <w:tcW w:type="dxa" w:w="1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Nonfunctional (Security &amp; Compliance)</w:t>
            </w:r>
          </w:p>
        </w:tc>
        <w:tc>
          <w:tcPr>
            <w:tcW w:type="dxa" w:w="4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The system shall retain an immutable, tamper-evident audit log of all stock-movement and placement-override records for a minimum of 24 months, viewable only by authenticated Logistics Supervisor accounts.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3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Pass: Log entries cannot be edited or deleted, and access attempts by non-Supervisor roles are denied and recorded. Fail: Any log entry is alterable, or is accessible without proper role authentication.</w:t>
            </w:r>
          </w:p>
        </w:tc>
        <w:tc>
          <w:tcPr>
            <w:tcW w:type="dxa" w:w="2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Supports regulatory compliance and dispute resolution for inventory discrepancies.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  <w:sectPr>
          <w:headerReference w:type="default" r:id="rId4"/>
          <w:footerReference w:type="default" r:id="rId5"/>
          <w:pgSz w:w="15840" w:h="12240" w:orient="landscape"/>
          <w:pgMar w:top="720" w:right="720" w:bottom="720" w:left="720" w:header="708" w:footer="708"/>
          <w:bidi w:val="0"/>
        </w:sectPr>
      </w:pPr>
    </w:p>
    <w:p>
      <w:pPr>
        <w:pStyle w:val="Heading 2"/>
      </w:pPr>
      <w:r>
        <w:rPr>
          <w:b w:val="1"/>
          <w:bCs w:val="1"/>
          <w:rtl w:val="0"/>
          <w:lang w:val="en-US"/>
        </w:rPr>
        <w:t>2. UML Use-Case Diagram</w:t>
      </w:r>
    </w:p>
    <w:p>
      <w:pPr>
        <w:pStyle w:val="Heading 2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7429500" cy="5743575"/>
            <wp:effectExtent l="0" t="0" r="0" b="0"/>
            <wp:docPr id="1073741825" name="officeArt object" descr="b05e6ac1d4cd0bb434642a1d2893c1decf7d92c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05e6ac1d4cd0bb434642a1d2893c1decf7d92c2.png" descr="b05e6ac1d4cd0bb434642a1d2893c1decf7d92c2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5743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  <w:sectPr>
          <w:headerReference w:type="default" r:id="rId7"/>
          <w:pgSz w:w="15840" w:h="12240" w:orient="landscape"/>
          <w:pgMar w:top="720" w:right="720" w:bottom="720" w:left="720" w:header="708" w:footer="708"/>
          <w:bidi w:val="0"/>
        </w:sectPr>
      </w:pPr>
    </w:p>
    <w:p>
      <w:pPr>
        <w:pStyle w:val="Heading 2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Use-Case Flow Specification</w:t>
      </w:r>
    </w:p>
    <w:p>
      <w:pPr>
        <w:pStyle w:val="Heading 2"/>
      </w:pPr>
    </w:p>
    <w:p>
      <w:pPr>
        <w:pStyle w:val="Heading 2"/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Use Case: UC-02 </w:t>
      </w: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— </w:t>
      </w: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Assign Pallet Location</w:t>
      </w:r>
    </w:p>
    <w:p>
      <w:pPr>
        <w:pStyle w:val="Heading 2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Primary Actor: Warehouse Operator </w:t>
      </w:r>
    </w:p>
    <w:p>
      <w:pPr>
        <w:pStyle w:val="Heading 2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Secondary Actors: Logistics Supervisor (approval), Scanning Device (RFID/Barcode Scanner, supporting)</w:t>
      </w:r>
    </w:p>
    <w:p>
      <w:pPr>
        <w:pStyle w:val="Heading 2"/>
      </w:pPr>
    </w:p>
    <w:p>
      <w:pPr>
        <w:pStyle w:val="Heading 2"/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Preconditions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• 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Warehouse Operator is authenticated in the system.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• 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pallet is physically present at the staging/receiving area.</w:t>
      </w:r>
    </w:p>
    <w:p>
      <w:pPr>
        <w:pStyle w:val="Heading 2"/>
        <w:numPr>
          <w:ilvl w:val="0"/>
          <w:numId w:val="2"/>
        </w:numPr>
        <w:rPr>
          <w:sz w:val="20"/>
          <w:szCs w:val="20"/>
        </w:rPr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Rack capacity and current occupancy data in the system are up to date.</w:t>
      </w:r>
    </w:p>
    <w:p>
      <w:pPr>
        <w:pStyle w:val="Heading 2"/>
      </w:pPr>
    </w:p>
    <w:p>
      <w:pPr>
        <w:pStyle w:val="Heading 2"/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Postconditions (on success)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• 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pallet's 3D coordinate (aisle, rack, shelf) is recorded and searchable.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• 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destination rack's cumulative load is updated to include the new pallet's weight.</w:t>
      </w:r>
    </w:p>
    <w:p>
      <w:pPr>
        <w:pStyle w:val="Heading 2"/>
        <w:numPr>
          <w:ilvl w:val="0"/>
          <w:numId w:val="2"/>
        </w:numPr>
        <w:rPr>
          <w:sz w:val="20"/>
          <w:szCs w:val="20"/>
        </w:rPr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 stock-movement log entry exists for the placement (FR-003).</w:t>
      </w:r>
    </w:p>
    <w:p>
      <w:pPr>
        <w:pStyle w:val="Heading 2"/>
      </w:pPr>
    </w:p>
    <w:p>
      <w:pPr>
        <w:pStyle w:val="Heading 2"/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Main Success Scenario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 Warehouse Operator selects "Assign Pallet Location" from the system menu.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 System prompts the Operator to identify the pallet (includes UC-01: Scan Pallet).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 Operator scans the pallet's barcode/RFID tag; the Scanning Device returns the Pallet ID and recorded weight to the system.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Operator enters or selects a proposed storage coordinate (aisle, rack, shelf).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 System validates the proposed coordinate against the rack's maximum load capacity (FR-001).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 System confirms the placement is within the rated limit.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 System updates the rack's occupancy record and the pallet's shelf coordinate.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 System logs the stock-movement event with Pallet ID, timestamp, and destination coordinate (includes UC-03: Log Stock Movement).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9. System displays a confirmation screen showing the assigned coordinate.</w:t>
      </w:r>
    </w:p>
    <w:p>
      <w:pPr>
        <w:pStyle w:val="Heading 2"/>
        <w:rPr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10. Use case ends successfully.</w:t>
      </w:r>
    </w:p>
    <w:p>
      <w:pPr>
        <w:pStyle w:val="Heading 2"/>
      </w:pPr>
    </w:p>
    <w:p>
      <w:pPr>
        <w:pStyle w:val="Heading 2"/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Alternate Flow </w:t>
      </w: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— </w:t>
      </w: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5a. Placement Exceeds Rack Capacity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5a1. System rejects the proposed coordinate and displays a "Capacity Exceeded" message showing current load vs. rated limit.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5a2. System suggests one or more alternate valid rack locations with available capacity.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5a3. Operator either selects a suggested alternate location, or requests an override.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5a4. If an override is requested, the "Override Placement Rejection" use case is invoked (extends UC-02) and a Logistics Supervisor is notified for approval.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5a5. If the Supervisor approves, flow resumes at Main Success Scenario step 6. If denied, or if the Operator accepts a suggested alternate instead, flow resumes at step 4 with the new coordinate.</w:t>
      </w:r>
    </w:p>
    <w:p>
      <w:pPr>
        <w:pStyle w:val="Heading 2"/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5a6. If no alternate is accepted and no override is approved, the use case ends without a placement being recorded.</w:t>
      </w:r>
    </w:p>
    <w:sectPr>
      <w:headerReference w:type="default" r:id="rId8"/>
      <w:pgSz w:w="15840" w:h="12240" w:orient="landscape"/>
      <w:pgMar w:top="720" w:right="900" w:bottom="72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2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6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2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8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