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6E548" w14:textId="0069BAB5" w:rsidR="00CB18EA" w:rsidRPr="00CB18EA" w:rsidRDefault="00CB18EA" w:rsidP="00CB18EA">
      <w:pPr>
        <w:rPr>
          <w:sz w:val="40"/>
          <w:szCs w:val="40"/>
        </w:rPr>
      </w:pPr>
      <w:r>
        <w:rPr>
          <w:b/>
          <w:bCs/>
        </w:rPr>
        <w:t xml:space="preserve">         </w:t>
      </w:r>
      <w:r w:rsidRPr="00CB18EA">
        <w:rPr>
          <w:b/>
          <w:bCs/>
          <w:sz w:val="40"/>
          <w:szCs w:val="40"/>
        </w:rPr>
        <w:t>MintClassics Warehouse Optimization Report</w:t>
      </w:r>
    </w:p>
    <w:p w14:paraId="4156C6C2" w14:textId="77777777" w:rsidR="00CB18EA" w:rsidRPr="00CB18EA" w:rsidRDefault="00CB18EA" w:rsidP="00CB18EA">
      <w:r w:rsidRPr="00CB18EA">
        <w:pict w14:anchorId="5F4E0122">
          <v:rect id="_x0000_i1067" style="width:0;height:1.5pt" o:hralign="center" o:hrstd="t" o:hr="t" fillcolor="#a0a0a0" stroked="f"/>
        </w:pict>
      </w:r>
    </w:p>
    <w:p w14:paraId="3913E4E2" w14:textId="77777777" w:rsidR="00CB18EA" w:rsidRPr="00CB18EA" w:rsidRDefault="00CB18EA" w:rsidP="00CB18EA">
      <w:pPr>
        <w:rPr>
          <w:b/>
          <w:bCs/>
        </w:rPr>
      </w:pPr>
      <w:r w:rsidRPr="00CB18EA">
        <w:rPr>
          <w:b/>
          <w:bCs/>
        </w:rPr>
        <w:t>1. Executive Summary</w:t>
      </w:r>
    </w:p>
    <w:p w14:paraId="4B4074DD" w14:textId="77777777" w:rsidR="00CB18EA" w:rsidRPr="00CB18EA" w:rsidRDefault="00CB18EA" w:rsidP="00CB18EA">
      <w:r w:rsidRPr="00CB18EA">
        <w:t>This report outlines a data-driven evaluation of MintClassics' warehouse operations with a focus on identifying high-demand products, optimizing regional inventory management, and improving operational efficiency across offices. The findings are derived from structured SQL analysis over transactional and organizational data.</w:t>
      </w:r>
    </w:p>
    <w:p w14:paraId="02D0160F" w14:textId="77777777" w:rsidR="00CB18EA" w:rsidRPr="00CB18EA" w:rsidRDefault="00CB18EA" w:rsidP="00CB18EA">
      <w:r w:rsidRPr="00CB18EA">
        <w:pict w14:anchorId="4E8E66B8">
          <v:rect id="_x0000_i1068" style="width:0;height:1.5pt" o:hralign="center" o:hrstd="t" o:hr="t" fillcolor="#a0a0a0" stroked="f"/>
        </w:pict>
      </w:r>
    </w:p>
    <w:p w14:paraId="03EAF3C7" w14:textId="77777777" w:rsidR="00CB18EA" w:rsidRPr="00CB18EA" w:rsidRDefault="00CB18EA" w:rsidP="00CB18EA">
      <w:pPr>
        <w:rPr>
          <w:b/>
          <w:bCs/>
        </w:rPr>
      </w:pPr>
      <w:r w:rsidRPr="00CB18EA">
        <w:rPr>
          <w:b/>
          <w:bCs/>
        </w:rPr>
        <w:t>2. Business Context</w:t>
      </w:r>
    </w:p>
    <w:p w14:paraId="6796C0DB" w14:textId="77777777" w:rsidR="00CB18EA" w:rsidRPr="00CB18EA" w:rsidRDefault="00CB18EA" w:rsidP="00CB18EA">
      <w:r w:rsidRPr="00CB18EA">
        <w:t>MintClassics, a global distributor of classic collectible vehicles and accessories, has experienced warehouse inefficiencies due to:</w:t>
      </w:r>
    </w:p>
    <w:p w14:paraId="1D717ECC" w14:textId="77777777" w:rsidR="00CB18EA" w:rsidRPr="00CB18EA" w:rsidRDefault="00CB18EA" w:rsidP="00CB18EA">
      <w:pPr>
        <w:numPr>
          <w:ilvl w:val="0"/>
          <w:numId w:val="1"/>
        </w:numPr>
      </w:pPr>
      <w:r w:rsidRPr="00CB18EA">
        <w:t>Unbalanced stock availability across regions</w:t>
      </w:r>
    </w:p>
    <w:p w14:paraId="261A1C39" w14:textId="77777777" w:rsidR="00CB18EA" w:rsidRPr="00CB18EA" w:rsidRDefault="00CB18EA" w:rsidP="00CB18EA">
      <w:pPr>
        <w:numPr>
          <w:ilvl w:val="0"/>
          <w:numId w:val="1"/>
        </w:numPr>
      </w:pPr>
      <w:r w:rsidRPr="00CB18EA">
        <w:t>Inefficient handling of high-volume items</w:t>
      </w:r>
    </w:p>
    <w:p w14:paraId="52B96E74" w14:textId="77777777" w:rsidR="00CB18EA" w:rsidRPr="00CB18EA" w:rsidRDefault="00CB18EA" w:rsidP="00CB18EA">
      <w:pPr>
        <w:numPr>
          <w:ilvl w:val="0"/>
          <w:numId w:val="1"/>
        </w:numPr>
      </w:pPr>
      <w:r w:rsidRPr="00CB18EA">
        <w:t>Underutilization of regional performance data for operational planning</w:t>
      </w:r>
    </w:p>
    <w:p w14:paraId="2ECF3760" w14:textId="582B2239" w:rsidR="00CB18EA" w:rsidRPr="00CB18EA" w:rsidRDefault="00CB18EA" w:rsidP="00CB18EA">
      <w:r w:rsidRPr="00CB18EA">
        <w:t xml:space="preserve">The goal is to align product flow with demand, streamline order </w:t>
      </w:r>
      <w:r w:rsidR="009537CD" w:rsidRPr="00CB18EA">
        <w:t>fulfilment</w:t>
      </w:r>
      <w:r w:rsidRPr="00CB18EA">
        <w:t>, and optimize space usage in key warehouse locations.</w:t>
      </w:r>
    </w:p>
    <w:p w14:paraId="5E8C328B" w14:textId="77777777" w:rsidR="00CB18EA" w:rsidRPr="00CB18EA" w:rsidRDefault="00CB18EA" w:rsidP="00CB18EA">
      <w:r w:rsidRPr="00CB18EA">
        <w:pict w14:anchorId="480773DD">
          <v:rect id="_x0000_i1069" style="width:0;height:1.5pt" o:hralign="center" o:hrstd="t" o:hr="t" fillcolor="#a0a0a0" stroked="f"/>
        </w:pict>
      </w:r>
    </w:p>
    <w:p w14:paraId="437BE213" w14:textId="77777777" w:rsidR="00CB18EA" w:rsidRPr="00CB18EA" w:rsidRDefault="00CB18EA" w:rsidP="00CB18EA">
      <w:pPr>
        <w:rPr>
          <w:b/>
          <w:bCs/>
        </w:rPr>
      </w:pPr>
      <w:r w:rsidRPr="00CB18EA">
        <w:rPr>
          <w:b/>
          <w:bCs/>
        </w:rPr>
        <w:t>3. Methodology &amp; Data Sources</w:t>
      </w:r>
    </w:p>
    <w:p w14:paraId="029CDC1B" w14:textId="77777777" w:rsidR="00CB18EA" w:rsidRPr="00CB18EA" w:rsidRDefault="00CB18EA" w:rsidP="00CB18EA">
      <w:r w:rsidRPr="00CB18EA">
        <w:t xml:space="preserve">SQL queries were used to perform diagnostic analysis on the </w:t>
      </w:r>
      <w:proofErr w:type="spellStart"/>
      <w:r w:rsidRPr="00CB18EA">
        <w:t>mintclassics</w:t>
      </w:r>
      <w:proofErr w:type="spellEnd"/>
      <w:r w:rsidRPr="00CB18EA">
        <w:t xml:space="preserve"> relational database. The data sources include:</w:t>
      </w:r>
    </w:p>
    <w:p w14:paraId="56B4AC2F" w14:textId="77777777" w:rsidR="00CB18EA" w:rsidRPr="00CB18EA" w:rsidRDefault="00CB18EA" w:rsidP="00CB18EA">
      <w:pPr>
        <w:numPr>
          <w:ilvl w:val="0"/>
          <w:numId w:val="2"/>
        </w:numPr>
      </w:pPr>
      <w:r w:rsidRPr="00CB18EA">
        <w:t xml:space="preserve">orders, </w:t>
      </w:r>
      <w:proofErr w:type="spellStart"/>
      <w:r w:rsidRPr="00CB18EA">
        <w:t>orderdetails</w:t>
      </w:r>
      <w:proofErr w:type="spellEnd"/>
      <w:r w:rsidRPr="00CB18EA">
        <w:t>: for revenue and product flow</w:t>
      </w:r>
    </w:p>
    <w:p w14:paraId="6C3E5FA4" w14:textId="77777777" w:rsidR="00CB18EA" w:rsidRPr="00CB18EA" w:rsidRDefault="00CB18EA" w:rsidP="00CB18EA">
      <w:pPr>
        <w:numPr>
          <w:ilvl w:val="0"/>
          <w:numId w:val="2"/>
        </w:numPr>
      </w:pPr>
      <w:r w:rsidRPr="00CB18EA">
        <w:t xml:space="preserve">products, </w:t>
      </w:r>
      <w:proofErr w:type="spellStart"/>
      <w:r w:rsidRPr="00CB18EA">
        <w:t>productlines</w:t>
      </w:r>
      <w:proofErr w:type="spellEnd"/>
      <w:r w:rsidRPr="00CB18EA">
        <w:t>: for product-level categorization</w:t>
      </w:r>
    </w:p>
    <w:p w14:paraId="2FE7FBE2" w14:textId="77777777" w:rsidR="00CB18EA" w:rsidRPr="00CB18EA" w:rsidRDefault="00CB18EA" w:rsidP="00CB18EA">
      <w:pPr>
        <w:numPr>
          <w:ilvl w:val="0"/>
          <w:numId w:val="2"/>
        </w:numPr>
      </w:pPr>
      <w:r w:rsidRPr="00CB18EA">
        <w:t>customers, employees, offices: for mapping sales operations</w:t>
      </w:r>
    </w:p>
    <w:p w14:paraId="71B6D6C1" w14:textId="77777777" w:rsidR="00CB18EA" w:rsidRPr="00CB18EA" w:rsidRDefault="00CB18EA" w:rsidP="00CB18EA">
      <w:r w:rsidRPr="00CB18EA">
        <w:t>The analysis was segmented into five parts: data understanding, product performance, office revenue contribution, sales rep performance, and product line insights.</w:t>
      </w:r>
    </w:p>
    <w:p w14:paraId="0E599929" w14:textId="77777777" w:rsidR="00CB18EA" w:rsidRPr="00CB18EA" w:rsidRDefault="00CB18EA" w:rsidP="00CB18EA">
      <w:r w:rsidRPr="00CB18EA">
        <w:pict w14:anchorId="60F4C903">
          <v:rect id="_x0000_i1070" style="width:0;height:1.5pt" o:hralign="center" o:hrstd="t" o:hr="t" fillcolor="#a0a0a0" stroked="f"/>
        </w:pict>
      </w:r>
    </w:p>
    <w:p w14:paraId="1E5574DE" w14:textId="77777777" w:rsidR="00CB18EA" w:rsidRPr="00CB18EA" w:rsidRDefault="00CB18EA" w:rsidP="00CB18EA">
      <w:pPr>
        <w:rPr>
          <w:b/>
          <w:bCs/>
        </w:rPr>
      </w:pPr>
      <w:r w:rsidRPr="00CB18EA">
        <w:rPr>
          <w:b/>
          <w:bCs/>
        </w:rPr>
        <w:t>4. Key Insights</w:t>
      </w:r>
    </w:p>
    <w:p w14:paraId="4F711A40" w14:textId="77777777" w:rsidR="00CB18EA" w:rsidRPr="00CB18EA" w:rsidRDefault="00CB18EA" w:rsidP="00CB18EA">
      <w:r w:rsidRPr="00CB18EA">
        <w:rPr>
          <w:b/>
          <w:bCs/>
        </w:rPr>
        <w:t>4.1 Product Performance</w:t>
      </w:r>
    </w:p>
    <w:p w14:paraId="4108EC88" w14:textId="77777777" w:rsidR="00CB18EA" w:rsidRPr="00CB18EA" w:rsidRDefault="00CB18EA" w:rsidP="00CB18EA">
      <w:pPr>
        <w:numPr>
          <w:ilvl w:val="0"/>
          <w:numId w:val="3"/>
        </w:numPr>
      </w:pPr>
      <w:r w:rsidRPr="00CB18EA">
        <w:t xml:space="preserve">The most ordered product by quantity: </w:t>
      </w:r>
      <w:r w:rsidRPr="00CB18EA">
        <w:rPr>
          <w:i/>
          <w:iCs/>
        </w:rPr>
        <w:t>1972 Alfa Romeo GTA</w:t>
      </w:r>
    </w:p>
    <w:p w14:paraId="0E66EABC" w14:textId="77777777" w:rsidR="00CB18EA" w:rsidRPr="00CB18EA" w:rsidRDefault="00CB18EA" w:rsidP="00CB18EA">
      <w:pPr>
        <w:numPr>
          <w:ilvl w:val="0"/>
          <w:numId w:val="3"/>
        </w:numPr>
      </w:pPr>
      <w:r w:rsidRPr="00CB18EA">
        <w:t xml:space="preserve">The highest revenue-generating product: </w:t>
      </w:r>
      <w:r w:rsidRPr="00CB18EA">
        <w:rPr>
          <w:i/>
          <w:iCs/>
        </w:rPr>
        <w:t>1992 Ferrari 360 Spider Red</w:t>
      </w:r>
    </w:p>
    <w:p w14:paraId="1D47F329" w14:textId="77777777" w:rsidR="00CB18EA" w:rsidRPr="00CB18EA" w:rsidRDefault="00CB18EA" w:rsidP="00CB18EA">
      <w:r w:rsidRPr="00CB18EA">
        <w:lastRenderedPageBreak/>
        <w:t>Implication: Fast-moving and high-value products require differentiated storage strategies to minimize delays and handling risks.</w:t>
      </w:r>
    </w:p>
    <w:p w14:paraId="6C481C98" w14:textId="77777777" w:rsidR="00CB18EA" w:rsidRPr="00CB18EA" w:rsidRDefault="00CB18EA" w:rsidP="00CB18EA">
      <w:r w:rsidRPr="00CB18EA">
        <w:rPr>
          <w:b/>
          <w:bCs/>
        </w:rPr>
        <w:t>4.2 Regional Revenue Analysis</w:t>
      </w:r>
    </w:p>
    <w:p w14:paraId="257DF5F8" w14:textId="77777777" w:rsidR="00CB18EA" w:rsidRPr="00CB18EA" w:rsidRDefault="00CB18EA" w:rsidP="00CB18EA">
      <w:pPr>
        <w:numPr>
          <w:ilvl w:val="0"/>
          <w:numId w:val="4"/>
        </w:numPr>
      </w:pPr>
      <w:r w:rsidRPr="00CB18EA">
        <w:t xml:space="preserve">The </w:t>
      </w:r>
      <w:r w:rsidRPr="00CB18EA">
        <w:rPr>
          <w:b/>
          <w:bCs/>
        </w:rPr>
        <w:t>France</w:t>
      </w:r>
      <w:r w:rsidRPr="00CB18EA">
        <w:t xml:space="preserve"> office contributed the highest total revenue.</w:t>
      </w:r>
    </w:p>
    <w:p w14:paraId="6C520395" w14:textId="77777777" w:rsidR="00CB18EA" w:rsidRPr="00CB18EA" w:rsidRDefault="00CB18EA" w:rsidP="00CB18EA">
      <w:pPr>
        <w:numPr>
          <w:ilvl w:val="0"/>
          <w:numId w:val="4"/>
        </w:numPr>
      </w:pPr>
      <w:r w:rsidRPr="00CB18EA">
        <w:t xml:space="preserve">The </w:t>
      </w:r>
      <w:r w:rsidRPr="00CB18EA">
        <w:rPr>
          <w:b/>
          <w:bCs/>
        </w:rPr>
        <w:t>Switzerland</w:t>
      </w:r>
      <w:r w:rsidRPr="00CB18EA">
        <w:t xml:space="preserve"> region reported the highest average order value.</w:t>
      </w:r>
    </w:p>
    <w:p w14:paraId="216058D3" w14:textId="77777777" w:rsidR="00CB18EA" w:rsidRPr="00CB18EA" w:rsidRDefault="00CB18EA" w:rsidP="00CB18EA">
      <w:r w:rsidRPr="00CB18EA">
        <w:t xml:space="preserve">Implication: France requires high-frequency stock rotation, while Switzerland demands precision-focused </w:t>
      </w:r>
      <w:proofErr w:type="spellStart"/>
      <w:r w:rsidRPr="00CB18EA">
        <w:t>fulfillment</w:t>
      </w:r>
      <w:proofErr w:type="spellEnd"/>
      <w:r w:rsidRPr="00CB18EA">
        <w:t xml:space="preserve"> for premium clients.</w:t>
      </w:r>
    </w:p>
    <w:p w14:paraId="083C6D7F" w14:textId="77777777" w:rsidR="00CB18EA" w:rsidRPr="00CB18EA" w:rsidRDefault="00CB18EA" w:rsidP="00CB18EA">
      <w:r w:rsidRPr="00CB18EA">
        <w:rPr>
          <w:b/>
          <w:bCs/>
        </w:rPr>
        <w:t>4.3 Sales Representative Effectiveness</w:t>
      </w:r>
    </w:p>
    <w:p w14:paraId="1141689F" w14:textId="77777777" w:rsidR="00CB18EA" w:rsidRPr="00CB18EA" w:rsidRDefault="00CB18EA" w:rsidP="00CB18EA">
      <w:pPr>
        <w:numPr>
          <w:ilvl w:val="0"/>
          <w:numId w:val="5"/>
        </w:numPr>
      </w:pPr>
      <w:r w:rsidRPr="00CB18EA">
        <w:t xml:space="preserve">The top-performing sales rep: </w:t>
      </w:r>
      <w:r w:rsidRPr="00CB18EA">
        <w:rPr>
          <w:i/>
          <w:iCs/>
        </w:rPr>
        <w:t>Employee #1370 – Gerard Hernandez</w:t>
      </w:r>
    </w:p>
    <w:p w14:paraId="15575A2E" w14:textId="77777777" w:rsidR="00CB18EA" w:rsidRPr="00CB18EA" w:rsidRDefault="00CB18EA" w:rsidP="00CB18EA">
      <w:r w:rsidRPr="00CB18EA">
        <w:t>Implication: Sales strategies from top performers may inform broader team enablement efforts.</w:t>
      </w:r>
    </w:p>
    <w:p w14:paraId="532B55F3" w14:textId="77777777" w:rsidR="00CB18EA" w:rsidRPr="00CB18EA" w:rsidRDefault="00CB18EA" w:rsidP="00CB18EA">
      <w:r w:rsidRPr="00CB18EA">
        <w:rPr>
          <w:b/>
          <w:bCs/>
        </w:rPr>
        <w:t>4.4 Product Line Analysis</w:t>
      </w:r>
    </w:p>
    <w:p w14:paraId="408D30CE" w14:textId="77777777" w:rsidR="00CB18EA" w:rsidRPr="00CB18EA" w:rsidRDefault="00CB18EA" w:rsidP="00CB18EA">
      <w:pPr>
        <w:numPr>
          <w:ilvl w:val="0"/>
          <w:numId w:val="6"/>
        </w:numPr>
      </w:pPr>
      <w:r w:rsidRPr="00CB18EA">
        <w:t xml:space="preserve">The leading product category in revenue: </w:t>
      </w:r>
      <w:r w:rsidRPr="00CB18EA">
        <w:rPr>
          <w:i/>
          <w:iCs/>
        </w:rPr>
        <w:t>Classic Cars</w:t>
      </w:r>
    </w:p>
    <w:p w14:paraId="03962D66" w14:textId="77777777" w:rsidR="00CB18EA" w:rsidRPr="00CB18EA" w:rsidRDefault="00CB18EA" w:rsidP="00CB18EA">
      <w:pPr>
        <w:numPr>
          <w:ilvl w:val="0"/>
          <w:numId w:val="6"/>
        </w:numPr>
      </w:pPr>
      <w:r w:rsidRPr="00CB18EA">
        <w:t xml:space="preserve">Lowest demand item: </w:t>
      </w:r>
      <w:r w:rsidRPr="00CB18EA">
        <w:rPr>
          <w:i/>
          <w:iCs/>
        </w:rPr>
        <w:t>1957 Ford Thunderbird</w:t>
      </w:r>
    </w:p>
    <w:p w14:paraId="33585E60" w14:textId="34E60D1C" w:rsidR="00CB18EA" w:rsidRPr="00CB18EA" w:rsidRDefault="00CB18EA" w:rsidP="00CB18EA">
      <w:r w:rsidRPr="00CB18EA">
        <w:t xml:space="preserve">Implication: Inventory planning should </w:t>
      </w:r>
      <w:proofErr w:type="spellStart"/>
      <w:r w:rsidR="009537CD">
        <w:t>f</w:t>
      </w:r>
      <w:r w:rsidR="009537CD" w:rsidRPr="00CB18EA">
        <w:t>avor</w:t>
      </w:r>
      <w:proofErr w:type="spellEnd"/>
      <w:r w:rsidRPr="00CB18EA">
        <w:t xml:space="preserve"> high-performing categories while reevaluating low-demand SKUs.</w:t>
      </w:r>
    </w:p>
    <w:p w14:paraId="602944D1" w14:textId="77777777" w:rsidR="00CB18EA" w:rsidRPr="00CB18EA" w:rsidRDefault="00CB18EA" w:rsidP="00CB18EA">
      <w:r w:rsidRPr="00CB18EA">
        <w:pict w14:anchorId="29D06F3A">
          <v:rect id="_x0000_i1071" style="width:0;height:1.5pt" o:hralign="center" o:hrstd="t" o:hr="t" fillcolor="#a0a0a0" stroked="f"/>
        </w:pict>
      </w:r>
    </w:p>
    <w:p w14:paraId="2A41EBC1" w14:textId="77777777" w:rsidR="00CB18EA" w:rsidRPr="00CB18EA" w:rsidRDefault="00CB18EA" w:rsidP="00CB18EA">
      <w:pPr>
        <w:rPr>
          <w:b/>
          <w:bCs/>
        </w:rPr>
      </w:pPr>
      <w:r w:rsidRPr="00CB18EA">
        <w:rPr>
          <w:b/>
          <w:bCs/>
        </w:rPr>
        <w:t>5. Strategic Recommendations</w:t>
      </w:r>
    </w:p>
    <w:p w14:paraId="3DFE1F2F" w14:textId="77777777" w:rsidR="00CB18EA" w:rsidRPr="00CB18EA" w:rsidRDefault="00CB18EA" w:rsidP="00CB18EA">
      <w:r w:rsidRPr="00CB18EA">
        <w:rPr>
          <w:b/>
          <w:bCs/>
        </w:rPr>
        <w:t>Inventory Placement and Prioritization</w:t>
      </w:r>
    </w:p>
    <w:p w14:paraId="58FF2045" w14:textId="77777777" w:rsidR="00CB18EA" w:rsidRPr="00CB18EA" w:rsidRDefault="00CB18EA" w:rsidP="00CB18EA">
      <w:pPr>
        <w:numPr>
          <w:ilvl w:val="0"/>
          <w:numId w:val="7"/>
        </w:numPr>
      </w:pPr>
      <w:r w:rsidRPr="00CB18EA">
        <w:t>Design warehouse layout to prioritize high-volume and high-value products for faster accessibility.</w:t>
      </w:r>
    </w:p>
    <w:p w14:paraId="4E85DADF" w14:textId="0AD85A6C" w:rsidR="00CB18EA" w:rsidRPr="00CB18EA" w:rsidRDefault="00CB18EA" w:rsidP="00CB18EA">
      <w:r w:rsidRPr="00CB18EA">
        <w:rPr>
          <w:b/>
          <w:bCs/>
        </w:rPr>
        <w:t xml:space="preserve">Regional </w:t>
      </w:r>
      <w:r w:rsidR="009537CD" w:rsidRPr="00CB18EA">
        <w:rPr>
          <w:b/>
          <w:bCs/>
        </w:rPr>
        <w:t>Fulfilment</w:t>
      </w:r>
      <w:r w:rsidRPr="00CB18EA">
        <w:rPr>
          <w:b/>
          <w:bCs/>
        </w:rPr>
        <w:t xml:space="preserve"> Optimization</w:t>
      </w:r>
    </w:p>
    <w:p w14:paraId="002A74C2" w14:textId="77777777" w:rsidR="00CB18EA" w:rsidRPr="00CB18EA" w:rsidRDefault="00CB18EA" w:rsidP="00CB18EA">
      <w:pPr>
        <w:numPr>
          <w:ilvl w:val="0"/>
          <w:numId w:val="8"/>
        </w:numPr>
      </w:pPr>
      <w:r w:rsidRPr="00CB18EA">
        <w:t>France: Invest in stock rotation tools and faster pick-pack systems.</w:t>
      </w:r>
    </w:p>
    <w:p w14:paraId="77CDDE7C" w14:textId="77777777" w:rsidR="00CB18EA" w:rsidRPr="00CB18EA" w:rsidRDefault="00CB18EA" w:rsidP="00CB18EA">
      <w:pPr>
        <w:numPr>
          <w:ilvl w:val="0"/>
          <w:numId w:val="8"/>
        </w:numPr>
      </w:pPr>
      <w:r w:rsidRPr="00CB18EA">
        <w:t>Switzerland: Ensure availability of premium product stock and accuracy of order packaging.</w:t>
      </w:r>
    </w:p>
    <w:p w14:paraId="2FDD3B1A" w14:textId="77777777" w:rsidR="00CB18EA" w:rsidRPr="00CB18EA" w:rsidRDefault="00CB18EA" w:rsidP="00CB18EA">
      <w:r w:rsidRPr="00CB18EA">
        <w:rPr>
          <w:b/>
          <w:bCs/>
        </w:rPr>
        <w:t>Salesforce Utilization</w:t>
      </w:r>
    </w:p>
    <w:p w14:paraId="553126A4" w14:textId="77777777" w:rsidR="00CB18EA" w:rsidRPr="00CB18EA" w:rsidRDefault="00CB18EA" w:rsidP="00CB18EA">
      <w:pPr>
        <w:numPr>
          <w:ilvl w:val="0"/>
          <w:numId w:val="9"/>
        </w:numPr>
      </w:pPr>
      <w:r w:rsidRPr="00CB18EA">
        <w:t>Reassign high-performing sales reps to strategic accounts.</w:t>
      </w:r>
    </w:p>
    <w:p w14:paraId="59A44562" w14:textId="77777777" w:rsidR="00CB18EA" w:rsidRPr="00CB18EA" w:rsidRDefault="00CB18EA" w:rsidP="00CB18EA">
      <w:pPr>
        <w:numPr>
          <w:ilvl w:val="0"/>
          <w:numId w:val="9"/>
        </w:numPr>
      </w:pPr>
      <w:r w:rsidRPr="00CB18EA">
        <w:t>Introduce performance benchmarks based on revenue contribution.</w:t>
      </w:r>
    </w:p>
    <w:p w14:paraId="0E069859" w14:textId="77777777" w:rsidR="00CB18EA" w:rsidRPr="00CB18EA" w:rsidRDefault="00CB18EA" w:rsidP="00CB18EA">
      <w:r w:rsidRPr="00CB18EA">
        <w:rPr>
          <w:b/>
          <w:bCs/>
        </w:rPr>
        <w:t>SKU Lifecycle Management</w:t>
      </w:r>
    </w:p>
    <w:p w14:paraId="2E0F3658" w14:textId="77777777" w:rsidR="00CB18EA" w:rsidRPr="00CB18EA" w:rsidRDefault="00CB18EA" w:rsidP="00CB18EA">
      <w:pPr>
        <w:numPr>
          <w:ilvl w:val="0"/>
          <w:numId w:val="10"/>
        </w:numPr>
      </w:pPr>
      <w:r w:rsidRPr="00CB18EA">
        <w:t>Promote low-demand products or phase out slow movers.</w:t>
      </w:r>
    </w:p>
    <w:p w14:paraId="18A4A7A9" w14:textId="0D68E5A6" w:rsidR="00CB18EA" w:rsidRPr="00CB18EA" w:rsidRDefault="00CB18EA" w:rsidP="00CB18EA">
      <w:pPr>
        <w:numPr>
          <w:ilvl w:val="0"/>
          <w:numId w:val="10"/>
        </w:numPr>
      </w:pPr>
      <w:r w:rsidRPr="00CB18EA">
        <w:lastRenderedPageBreak/>
        <w:t xml:space="preserve">Introduce real-time KPI tracking to </w:t>
      </w:r>
      <w:r w:rsidR="009537CD" w:rsidRPr="00CB18EA">
        <w:t>pre-empt</w:t>
      </w:r>
      <w:r w:rsidRPr="00CB18EA">
        <w:t xml:space="preserve"> inventory depletion.</w:t>
      </w:r>
    </w:p>
    <w:p w14:paraId="7FC0C220" w14:textId="77777777" w:rsidR="00CB18EA" w:rsidRPr="00CB18EA" w:rsidRDefault="00CB18EA" w:rsidP="00CB18EA">
      <w:r w:rsidRPr="00CB18EA">
        <w:pict w14:anchorId="3C47D691">
          <v:rect id="_x0000_i1072" style="width:0;height:1.5pt" o:hralign="center" o:hrstd="t" o:hr="t" fillcolor="#a0a0a0" stroked="f"/>
        </w:pict>
      </w:r>
    </w:p>
    <w:p w14:paraId="20E44D9F" w14:textId="77777777" w:rsidR="00CB18EA" w:rsidRPr="00CB18EA" w:rsidRDefault="00CB18EA" w:rsidP="00CB18EA">
      <w:pPr>
        <w:rPr>
          <w:b/>
          <w:bCs/>
        </w:rPr>
      </w:pPr>
      <w:r w:rsidRPr="00CB18EA">
        <w:rPr>
          <w:b/>
          <w:bCs/>
        </w:rPr>
        <w:t>6. Conclusion</w:t>
      </w:r>
    </w:p>
    <w:p w14:paraId="71829A4F" w14:textId="77777777" w:rsidR="00CB18EA" w:rsidRPr="00CB18EA" w:rsidRDefault="00CB18EA" w:rsidP="00CB18EA">
      <w:r w:rsidRPr="00CB18EA">
        <w:t>This report demonstrates how foundational SQL queries can be translated into meaningful operational recommendations. By understanding demand patterns and regional performance, MintClassics can improve product availability, reduce inefficiencies, and enhance customer satisfaction across its global warehouse operations.</w:t>
      </w:r>
    </w:p>
    <w:p w14:paraId="143337DF" w14:textId="075CEF52" w:rsidR="00CB18EA" w:rsidRPr="00CB18EA" w:rsidRDefault="00CB18EA" w:rsidP="00CB18EA">
      <w:r w:rsidRPr="00CB18EA">
        <w:pict w14:anchorId="2AFF51FE">
          <v:rect id="_x0000_i1073" style="width:0;height:1.5pt" o:hralign="center" o:hrstd="t" o:hr="t" fillcolor="#a0a0a0" stroked="f"/>
        </w:pict>
      </w:r>
      <w:r w:rsidRPr="00CB18EA">
        <w:br/>
      </w:r>
      <w:r w:rsidRPr="00CB18EA">
        <w:rPr>
          <w:b/>
          <w:bCs/>
        </w:rPr>
        <w:t>SQL Workbook Reference:</w:t>
      </w:r>
      <w:r w:rsidRPr="00CB18EA">
        <w:t xml:space="preserve"> </w:t>
      </w:r>
      <w:proofErr w:type="spellStart"/>
      <w:r w:rsidRPr="00CB18EA">
        <w:t>mintclassics.sql</w:t>
      </w:r>
      <w:proofErr w:type="spellEnd"/>
    </w:p>
    <w:p w14:paraId="5368CF54" w14:textId="77777777" w:rsidR="00D40E65" w:rsidRDefault="00D40E65"/>
    <w:sectPr w:rsidR="00D40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90B94"/>
    <w:multiLevelType w:val="multilevel"/>
    <w:tmpl w:val="CD8C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46A83"/>
    <w:multiLevelType w:val="multilevel"/>
    <w:tmpl w:val="E998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E3B72"/>
    <w:multiLevelType w:val="multilevel"/>
    <w:tmpl w:val="63A2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D7B56"/>
    <w:multiLevelType w:val="multilevel"/>
    <w:tmpl w:val="A99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46F68"/>
    <w:multiLevelType w:val="multilevel"/>
    <w:tmpl w:val="60C4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415CC"/>
    <w:multiLevelType w:val="multilevel"/>
    <w:tmpl w:val="C2DE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76A20"/>
    <w:multiLevelType w:val="multilevel"/>
    <w:tmpl w:val="1432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E30971"/>
    <w:multiLevelType w:val="multilevel"/>
    <w:tmpl w:val="AF50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82BF1"/>
    <w:multiLevelType w:val="multilevel"/>
    <w:tmpl w:val="0354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35521"/>
    <w:multiLevelType w:val="multilevel"/>
    <w:tmpl w:val="1CB2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808334">
    <w:abstractNumId w:val="3"/>
  </w:num>
  <w:num w:numId="2" w16cid:durableId="1494566885">
    <w:abstractNumId w:val="7"/>
  </w:num>
  <w:num w:numId="3" w16cid:durableId="1220282438">
    <w:abstractNumId w:val="9"/>
  </w:num>
  <w:num w:numId="4" w16cid:durableId="998576285">
    <w:abstractNumId w:val="2"/>
  </w:num>
  <w:num w:numId="5" w16cid:durableId="1231188779">
    <w:abstractNumId w:val="4"/>
  </w:num>
  <w:num w:numId="6" w16cid:durableId="1399749584">
    <w:abstractNumId w:val="6"/>
  </w:num>
  <w:num w:numId="7" w16cid:durableId="1153107989">
    <w:abstractNumId w:val="0"/>
  </w:num>
  <w:num w:numId="8" w16cid:durableId="1705717502">
    <w:abstractNumId w:val="8"/>
  </w:num>
  <w:num w:numId="9" w16cid:durableId="2072075824">
    <w:abstractNumId w:val="1"/>
  </w:num>
  <w:num w:numId="10" w16cid:durableId="20250881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EA"/>
    <w:rsid w:val="006A5F43"/>
    <w:rsid w:val="009537CD"/>
    <w:rsid w:val="00CB18EA"/>
    <w:rsid w:val="00D40E65"/>
    <w:rsid w:val="00D83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C40E"/>
  <w15:chartTrackingRefBased/>
  <w15:docId w15:val="{68C45164-8FD8-4964-8692-9241E8FC4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8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8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8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8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8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8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8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8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8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8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8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8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8EA"/>
    <w:rPr>
      <w:rFonts w:eastAsiaTheme="majorEastAsia" w:cstheme="majorBidi"/>
      <w:color w:val="272727" w:themeColor="text1" w:themeTint="D8"/>
    </w:rPr>
  </w:style>
  <w:style w:type="paragraph" w:styleId="Title">
    <w:name w:val="Title"/>
    <w:basedOn w:val="Normal"/>
    <w:next w:val="Normal"/>
    <w:link w:val="TitleChar"/>
    <w:uiPriority w:val="10"/>
    <w:qFormat/>
    <w:rsid w:val="00CB1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8EA"/>
    <w:pPr>
      <w:spacing w:before="160"/>
      <w:jc w:val="center"/>
    </w:pPr>
    <w:rPr>
      <w:i/>
      <w:iCs/>
      <w:color w:val="404040" w:themeColor="text1" w:themeTint="BF"/>
    </w:rPr>
  </w:style>
  <w:style w:type="character" w:customStyle="1" w:styleId="QuoteChar">
    <w:name w:val="Quote Char"/>
    <w:basedOn w:val="DefaultParagraphFont"/>
    <w:link w:val="Quote"/>
    <w:uiPriority w:val="29"/>
    <w:rsid w:val="00CB18EA"/>
    <w:rPr>
      <w:i/>
      <w:iCs/>
      <w:color w:val="404040" w:themeColor="text1" w:themeTint="BF"/>
    </w:rPr>
  </w:style>
  <w:style w:type="paragraph" w:styleId="ListParagraph">
    <w:name w:val="List Paragraph"/>
    <w:basedOn w:val="Normal"/>
    <w:uiPriority w:val="34"/>
    <w:qFormat/>
    <w:rsid w:val="00CB18EA"/>
    <w:pPr>
      <w:ind w:left="720"/>
      <w:contextualSpacing/>
    </w:pPr>
  </w:style>
  <w:style w:type="character" w:styleId="IntenseEmphasis">
    <w:name w:val="Intense Emphasis"/>
    <w:basedOn w:val="DefaultParagraphFont"/>
    <w:uiPriority w:val="21"/>
    <w:qFormat/>
    <w:rsid w:val="00CB18EA"/>
    <w:rPr>
      <w:i/>
      <w:iCs/>
      <w:color w:val="0F4761" w:themeColor="accent1" w:themeShade="BF"/>
    </w:rPr>
  </w:style>
  <w:style w:type="paragraph" w:styleId="IntenseQuote">
    <w:name w:val="Intense Quote"/>
    <w:basedOn w:val="Normal"/>
    <w:next w:val="Normal"/>
    <w:link w:val="IntenseQuoteChar"/>
    <w:uiPriority w:val="30"/>
    <w:qFormat/>
    <w:rsid w:val="00CB1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8EA"/>
    <w:rPr>
      <w:i/>
      <w:iCs/>
      <w:color w:val="0F4761" w:themeColor="accent1" w:themeShade="BF"/>
    </w:rPr>
  </w:style>
  <w:style w:type="character" w:styleId="IntenseReference">
    <w:name w:val="Intense Reference"/>
    <w:basedOn w:val="DefaultParagraphFont"/>
    <w:uiPriority w:val="32"/>
    <w:qFormat/>
    <w:rsid w:val="00CB18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7703018">
      <w:bodyDiv w:val="1"/>
      <w:marLeft w:val="0"/>
      <w:marRight w:val="0"/>
      <w:marTop w:val="0"/>
      <w:marBottom w:val="0"/>
      <w:divBdr>
        <w:top w:val="none" w:sz="0" w:space="0" w:color="auto"/>
        <w:left w:val="none" w:sz="0" w:space="0" w:color="auto"/>
        <w:bottom w:val="none" w:sz="0" w:space="0" w:color="auto"/>
        <w:right w:val="none" w:sz="0" w:space="0" w:color="auto"/>
      </w:divBdr>
      <w:divsChild>
        <w:div w:id="715398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16787541">
          <w:blockQuote w:val="1"/>
          <w:marLeft w:val="720"/>
          <w:marRight w:val="720"/>
          <w:marTop w:val="100"/>
          <w:marBottom w:val="100"/>
          <w:divBdr>
            <w:top w:val="none" w:sz="0" w:space="0" w:color="auto"/>
            <w:left w:val="none" w:sz="0" w:space="0" w:color="auto"/>
            <w:bottom w:val="none" w:sz="0" w:space="0" w:color="auto"/>
            <w:right w:val="none" w:sz="0" w:space="0" w:color="auto"/>
          </w:divBdr>
        </w:div>
        <w:div w:id="713194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215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968128">
      <w:bodyDiv w:val="1"/>
      <w:marLeft w:val="0"/>
      <w:marRight w:val="0"/>
      <w:marTop w:val="0"/>
      <w:marBottom w:val="0"/>
      <w:divBdr>
        <w:top w:val="none" w:sz="0" w:space="0" w:color="auto"/>
        <w:left w:val="none" w:sz="0" w:space="0" w:color="auto"/>
        <w:bottom w:val="none" w:sz="0" w:space="0" w:color="auto"/>
        <w:right w:val="none" w:sz="0" w:space="0" w:color="auto"/>
      </w:divBdr>
      <w:divsChild>
        <w:div w:id="521742346">
          <w:blockQuote w:val="1"/>
          <w:marLeft w:val="720"/>
          <w:marRight w:val="720"/>
          <w:marTop w:val="100"/>
          <w:marBottom w:val="100"/>
          <w:divBdr>
            <w:top w:val="none" w:sz="0" w:space="0" w:color="auto"/>
            <w:left w:val="none" w:sz="0" w:space="0" w:color="auto"/>
            <w:bottom w:val="none" w:sz="0" w:space="0" w:color="auto"/>
            <w:right w:val="none" w:sz="0" w:space="0" w:color="auto"/>
          </w:divBdr>
        </w:div>
        <w:div w:id="81412004">
          <w:blockQuote w:val="1"/>
          <w:marLeft w:val="720"/>
          <w:marRight w:val="720"/>
          <w:marTop w:val="100"/>
          <w:marBottom w:val="100"/>
          <w:divBdr>
            <w:top w:val="none" w:sz="0" w:space="0" w:color="auto"/>
            <w:left w:val="none" w:sz="0" w:space="0" w:color="auto"/>
            <w:bottom w:val="none" w:sz="0" w:space="0" w:color="auto"/>
            <w:right w:val="none" w:sz="0" w:space="0" w:color="auto"/>
          </w:divBdr>
        </w:div>
        <w:div w:id="3093495">
          <w:blockQuote w:val="1"/>
          <w:marLeft w:val="720"/>
          <w:marRight w:val="720"/>
          <w:marTop w:val="100"/>
          <w:marBottom w:val="100"/>
          <w:divBdr>
            <w:top w:val="none" w:sz="0" w:space="0" w:color="auto"/>
            <w:left w:val="none" w:sz="0" w:space="0" w:color="auto"/>
            <w:bottom w:val="none" w:sz="0" w:space="0" w:color="auto"/>
            <w:right w:val="none" w:sz="0" w:space="0" w:color="auto"/>
          </w:divBdr>
        </w:div>
        <w:div w:id="589508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Kunduru, Harshika (kundurha)</dc:creator>
  <cp:keywords/>
  <dc:description/>
  <cp:lastModifiedBy>Kunduru, Harshika (kundurha)</cp:lastModifiedBy>
  <cp:revision>2</cp:revision>
  <dcterms:created xsi:type="dcterms:W3CDTF">2025-06-12T23:39:00Z</dcterms:created>
  <dcterms:modified xsi:type="dcterms:W3CDTF">2025-06-12T23:42:00Z</dcterms:modified>
</cp:coreProperties>
</file>