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200"/>
        <w:jc w:val="center"/>
      </w:pPr>
      <w:r>
        <w:rPr>
          <w:rFonts w:ascii="Calibri" w:cs="Calibri" w:eastAsia="Calibri" w:hAnsi="Calibri"/>
          <w:b/>
          <w:bCs/>
          <w:color w:val="1A56DB"/>
          <w:sz w:val="52"/>
          <w:szCs w:val="52"/>
        </w:rPr>
        <w:t xml:space="preserve">Interactive Dashboard Specification</w:t>
      </w:r>
    </w:p>
    <w:p>
      <w:pPr>
        <w:spacing w:after="120"/>
        <w:jc w:val="center"/>
      </w:pPr>
      <w:r>
        <w:rPr>
          <w:rFonts w:ascii="Calibri" w:cs="Calibri" w:eastAsia="Calibri" w:hAnsi="Calibri"/>
          <w:b/>
          <w:bCs/>
          <w:color w:val="111928"/>
          <w:sz w:val="36"/>
          <w:szCs w:val="36"/>
        </w:rPr>
        <w:t xml:space="preserve">Explainable AI Decision Support System for</w:t>
      </w:r>
    </w:p>
    <w:p>
      <w:pPr>
        <w:spacing w:after="400"/>
        <w:jc w:val="center"/>
      </w:pPr>
      <w:r>
        <w:rPr>
          <w:rFonts w:ascii="Calibri" w:cs="Calibri" w:eastAsia="Calibri" w:hAnsi="Calibri"/>
          <w:b/>
          <w:bCs/>
          <w:color w:val="111928"/>
          <w:sz w:val="36"/>
          <w:szCs w:val="36"/>
        </w:rPr>
        <w:t xml:space="preserve">Carbon Pricing Policy Evaluation in the Energy Sector</w:t>
      </w:r>
    </w:p>
    <w:p>
      <w:pPr>
        <w:pBdr>
          <w:bottom w:val="single" w:color="1A56DB" w:sz="4"/>
        </w:pBdr>
        <w:spacing w:before="160" w:after="160"/>
      </w:pPr>
    </w:p>
    <w:p>
      <w:pPr>
        <w:spacing w:after="120"/>
      </w:pPr>
    </w:p>
    <w:p>
      <w:pPr>
        <w:spacing w:after="80"/>
        <w:jc w:val="center"/>
      </w:pPr>
      <w:r>
        <w:rPr>
          <w:rFonts w:ascii="Calibri" w:cs="Calibri" w:eastAsia="Calibri" w:hAnsi="Calibri"/>
          <w:b/>
          <w:bCs/>
          <w:color w:val="111928"/>
          <w:sz w:val="28"/>
          <w:szCs w:val="28"/>
        </w:rPr>
        <w:t xml:space="preserve">Christine Wanjiku Kungu</w:t>
      </w:r>
    </w:p>
    <w:p>
      <w:pPr>
        <w:spacing w:after="80"/>
        <w:jc w:val="center"/>
      </w:pPr>
      <w:r>
        <w:rPr>
          <w:rFonts w:ascii="Calibri" w:cs="Calibri" w:eastAsia="Calibri" w:hAnsi="Calibri"/>
          <w:color w:val="6B7280"/>
          <w:sz w:val="24"/>
          <w:szCs w:val="24"/>
        </w:rPr>
        <w:t xml:space="preserve">B01806008</w:t>
      </w:r>
    </w:p>
    <w:p>
      <w:pPr>
        <w:spacing w:after="80"/>
        <w:jc w:val="center"/>
      </w:pPr>
      <w:r>
        <w:rPr>
          <w:rFonts w:ascii="Calibri" w:cs="Calibri" w:eastAsia="Calibri" w:hAnsi="Calibri"/>
          <w:color w:val="6B7280"/>
          <w:sz w:val="24"/>
          <w:szCs w:val="24"/>
        </w:rPr>
        <w:t xml:space="preserve">MSc IT with Data Analytics</w:t>
      </w:r>
    </w:p>
    <w:p>
      <w:pPr>
        <w:spacing w:after="80"/>
        <w:jc w:val="center"/>
      </w:pPr>
      <w:r>
        <w:rPr>
          <w:rFonts w:ascii="Calibri" w:cs="Calibri" w:eastAsia="Calibri" w:hAnsi="Calibri"/>
          <w:color w:val="6B7280"/>
          <w:sz w:val="24"/>
          <w:szCs w:val="24"/>
        </w:rPr>
        <w:t xml:space="preserve">University of the West of Scotland</w:t>
      </w:r>
    </w:p>
    <w:p>
      <w:pPr>
        <w:spacing w:after="400"/>
        <w:jc w:val="center"/>
      </w:pPr>
      <w:r>
        <w:rPr>
          <w:rFonts w:ascii="Calibri" w:cs="Calibri" w:eastAsia="Calibri" w:hAnsi="Calibri"/>
          <w:color w:val="6B7280"/>
          <w:sz w:val="24"/>
          <w:szCs w:val="24"/>
        </w:rPr>
        <w:t xml:space="preserve">February 2026</w:t>
      </w:r>
    </w:p>
    <w:p>
      <w:r>
        <w:br w:type="page"/>
      </w:r>
    </w:p>
    <w:p>
      <w:pPr>
        <w:pStyle w:val="Heading1"/>
        <w:spacing w:before="360" w:after="160"/>
      </w:pPr>
      <w:r>
        <w:rPr>
          <w:rFonts w:ascii="Calibri" w:cs="Calibri" w:eastAsia="Calibri" w:hAnsi="Calibri"/>
          <w:b/>
          <w:bCs/>
          <w:color w:val="1A56DB"/>
          <w:sz w:val="36"/>
          <w:szCs w:val="36"/>
        </w:rPr>
        <w:t xml:space="preserve">1. Executive Summary</w:t>
      </w:r>
    </w:p>
    <w:p>
      <w:pPr>
        <w:spacing w:after="140"/>
        <w:jc w:val="both"/>
      </w:pPr>
      <w:r>
        <w:rPr>
          <w:rFonts w:ascii="Calibri" w:cs="Calibri" w:eastAsia="Calibri" w:hAnsi="Calibri"/>
          <w:b w:val="false"/>
          <w:bCs w:val="false"/>
          <w:i w:val="false"/>
          <w:iCs w:val="false"/>
          <w:color w:val="111928"/>
          <w:sz w:val="22"/>
          <w:szCs w:val="22"/>
        </w:rPr>
        <w:t xml:space="preserve">This document provides the complete interactive dashboard specification for the Explainable AI–Driven Decision Support System (DSS) developed as the applied output of the MSc IT with Data Analytics dissertation: "Explainable AI–Driven Decision Support System with Interactive Dashboard for Evaluating Carbon Pricing Policies in the Energy Sector" (Kungu, 2026). The specification translates the research design presented in Chapter 3 of the dissertation into actionable engineering requirements, user interface descriptions, and interaction design for a production-ready web application.</w:t>
      </w:r>
    </w:p>
    <w:p>
      <w:pPr>
        <w:spacing w:after="120"/>
      </w:pPr>
    </w:p>
    <w:p>
      <w:pPr>
        <w:pStyle w:val="Heading2"/>
        <w:spacing w:before="280" w:after="120"/>
      </w:pPr>
      <w:r>
        <w:rPr>
          <w:rFonts w:ascii="Calibri" w:cs="Calibri" w:eastAsia="Calibri" w:hAnsi="Calibri"/>
          <w:b/>
          <w:bCs/>
          <w:color w:val="111928"/>
          <w:sz w:val="28"/>
          <w:szCs w:val="28"/>
        </w:rPr>
        <w:t xml:space="preserve">1.1 Alignment with Dissertation Research Objectives</w:t>
      </w:r>
    </w:p>
    <w:p>
      <w:pPr>
        <w:spacing w:after="140"/>
        <w:jc w:val="both"/>
      </w:pPr>
      <w:r>
        <w:rPr>
          <w:rFonts w:ascii="Calibri" w:cs="Calibri" w:eastAsia="Calibri" w:hAnsi="Calibri"/>
          <w:b w:val="false"/>
          <w:bCs w:val="false"/>
          <w:i w:val="false"/>
          <w:iCs w:val="false"/>
          <w:color w:val="111928"/>
          <w:sz w:val="22"/>
          <w:szCs w:val="22"/>
        </w:rPr>
        <w:t xml:space="preserve">The four research objectives stated in Section 1.3 of the dissertation map directly to dashboard functionality as follows: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bCs/>
                <w:color w:val="111928"/>
                <w:sz w:val="20"/>
                <w:szCs w:val="20"/>
              </w:rPr>
              <w:t xml:space="preserve">Research Objective</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bCs/>
                <w:color w:val="111928"/>
                <w:sz w:val="20"/>
                <w:szCs w:val="20"/>
              </w:rPr>
              <w:t xml:space="preserve">Dashboard Implementation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i. Review carbon pricing literature and prepare historical energy datasets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Data Explorer tab: IEA GHG Highlights (2025), EU ETS DataViewer 2005–2024, World Bank Climate Indicators, UK DESNZ DUKES — all interactively browsable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ii. Develop and evaluate hybrid ML models with explainable insights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Predictions tab and Model Metrics tab: XGBoost + ensemble results, MAE / RMSE / R² dashboards, SHAP and LIME panels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iii. Build an interactive web dashboard for policy modelling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All six tabs collectively; Policy Simulator tab for what-if scenario exploration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iv. Evaluate system accuracy, transparency, bias, usability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Model Metrics tab: fairness indicators, calibration curves, confusion matrices, export options</w:t>
            </w:r>
          </w:p>
        </w:tc>
      </w:tr>
    </w:tbl>
    <w:p>
      <w:pPr>
        <w:spacing w:after="120"/>
      </w:pPr>
    </w:p>
    <w:p>
      <w:pPr>
        <w:pStyle w:val="Heading2"/>
        <w:spacing w:before="280" w:after="120"/>
      </w:pPr>
      <w:r>
        <w:rPr>
          <w:rFonts w:ascii="Calibri" w:cs="Calibri" w:eastAsia="Calibri" w:hAnsi="Calibri"/>
          <w:b/>
          <w:bCs/>
          <w:color w:val="111928"/>
          <w:sz w:val="28"/>
          <w:szCs w:val="28"/>
        </w:rPr>
        <w:t xml:space="preserve">1.2 System Context</w:t>
      </w:r>
    </w:p>
    <w:p>
      <w:pPr>
        <w:spacing w:after="140"/>
        <w:jc w:val="both"/>
      </w:pPr>
      <w:r>
        <w:rPr>
          <w:rFonts w:ascii="Calibri" w:cs="Calibri" w:eastAsia="Calibri" w:hAnsi="Calibri"/>
          <w:b w:val="false"/>
          <w:bCs w:val="false"/>
          <w:i w:val="false"/>
          <w:iCs w:val="false"/>
          <w:color w:val="111928"/>
          <w:sz w:val="22"/>
          <w:szCs w:val="22"/>
        </w:rPr>
        <w:t xml:space="preserve">The DSS targets energy policy analysts, government regulators, academic researchers, and representatives of entities participating in the EU Emissions Trading System (EU ETS). As noted by Van der Voort et al. (2018), interactive dashboards improve accountability in data-driven governance contexts. The system is designed to reduce the "interpretability gap" identified in Sections 1.1 and 2.5 of the dissertation: the opacity of black-box ML models prevents policymakers from trusting AI-driven recommendations. SHAP and LIME explanations — rendered visually in dedicated panels — address this gap directly, consistent with the framework of Salih et al. (2024).</w:t>
      </w:r>
    </w:p>
    <w:p>
      <w:pPr>
        <w:spacing w:after="140"/>
        <w:jc w:val="both"/>
      </w:pPr>
      <w:r>
        <w:rPr>
          <w:rFonts w:ascii="Calibri" w:cs="Calibri" w:eastAsia="Calibri" w:hAnsi="Calibri"/>
          <w:b w:val="false"/>
          <w:bCs w:val="false"/>
          <w:i w:val="false"/>
          <w:iCs w:val="false"/>
          <w:color w:val="111928"/>
          <w:sz w:val="22"/>
          <w:szCs w:val="22"/>
        </w:rPr>
        <w:t xml:space="preserve">The colour palette applied throughout the dashboard is consistent with the dissertation branding: Primary accent #1A56DB (Flowbite Blue), success green #0E9F6E, alert red #E02424, warning amber #FF8A4C, background #F4F6F9, and a chart palette of eight semantically distinct colours to maximise accessibility.</w:t>
      </w:r>
    </w:p>
    <w:p>
      <w:r>
        <w:br w:type="page"/>
      </w:r>
    </w:p>
    <w:p>
      <w:pPr>
        <w:pStyle w:val="Heading1"/>
        <w:spacing w:before="360" w:after="160"/>
      </w:pPr>
      <w:r>
        <w:rPr>
          <w:rFonts w:ascii="Calibri" w:cs="Calibri" w:eastAsia="Calibri" w:hAnsi="Calibri"/>
          <w:b/>
          <w:bCs/>
          <w:color w:val="1A56DB"/>
          <w:sz w:val="36"/>
          <w:szCs w:val="36"/>
        </w:rPr>
        <w:t xml:space="preserve">2. Complete Web Application Feature List</w:t>
      </w:r>
    </w:p>
    <w:p>
      <w:pPr>
        <w:spacing w:after="140"/>
        <w:jc w:val="both"/>
      </w:pPr>
      <w:r>
        <w:rPr>
          <w:rFonts w:ascii="Calibri" w:cs="Calibri" w:eastAsia="Calibri" w:hAnsi="Calibri"/>
          <w:b w:val="false"/>
          <w:bCs w:val="false"/>
          <w:i w:val="false"/>
          <w:iCs w:val="false"/>
          <w:color w:val="111928"/>
          <w:sz w:val="22"/>
          <w:szCs w:val="22"/>
        </w:rPr>
        <w:t xml:space="preserve">The following feature list uses the exact terminology and architecture described in Chapter 3 of the dissertation (Kungu, 2026). Features are grouped by the system layer in which they are implemented.</w:t>
      </w:r>
    </w:p>
    <w:p>
      <w:pPr>
        <w:spacing w:after="120"/>
      </w:pPr>
    </w:p>
    <w:p>
      <w:pPr>
        <w:pStyle w:val="Heading2"/>
        <w:spacing w:before="280" w:after="120"/>
      </w:pPr>
      <w:r>
        <w:rPr>
          <w:rFonts w:ascii="Calibri" w:cs="Calibri" w:eastAsia="Calibri" w:hAnsi="Calibri"/>
          <w:b/>
          <w:bCs/>
          <w:color w:val="111928"/>
          <w:sz w:val="28"/>
          <w:szCs w:val="28"/>
        </w:rPr>
        <w:t xml:space="preserve">2.1 Data &amp; Integration Layer</w:t>
      </w:r>
    </w:p>
    <w:p>
      <w:pPr>
        <w:pStyle w:val="ListParagraph"/>
        <w:numPr>
          <w:ilvl w:val="0"/>
          <w:numId w:val="2"/>
        </w:numPr>
        <w:spacing w:after="80"/>
      </w:pPr>
      <w:r>
        <w:rPr>
          <w:rFonts w:ascii="Calibri" w:cs="Calibri" w:eastAsia="Calibri" w:hAnsi="Calibri"/>
          <w:color w:val="111928"/>
          <w:sz w:val="22"/>
          <w:szCs w:val="22"/>
        </w:rPr>
        <w:t xml:space="preserve">Multi-source data ingestion: IEA GHG Highlights 2025, IEA World Energy Balances (TimeSeries 1971–2024), EU ETS DataViewer and Cube (2005–2024), World Bank Climate Change Knowledge Portal, UK DESNZ DUKES and Final GHG Statistics 1990–2024, World Bank Metadata Country (region/income classification)</w:t>
      </w:r>
    </w:p>
    <w:p>
      <w:pPr>
        <w:pStyle w:val="ListParagraph"/>
        <w:numPr>
          <w:ilvl w:val="0"/>
          <w:numId w:val="2"/>
        </w:numPr>
        <w:spacing w:after="80"/>
      </w:pPr>
      <w:r>
        <w:rPr>
          <w:rFonts w:ascii="Calibri" w:cs="Calibri" w:eastAsia="Calibri" w:hAnsi="Calibri"/>
          <w:color w:val="111928"/>
          <w:sz w:val="22"/>
          <w:szCs w:val="22"/>
        </w:rPr>
        <w:t xml:space="preserve">Automated data pre-processing: handling of IEA ".." missing value convention, chronological imputation using KNN (n=5 neighbours), outlier detection via IQR×3 threshold, cross-source country code harmonisation (ISO-3 crosswalk via pycountry)</w:t>
      </w:r>
    </w:p>
    <w:p>
      <w:pPr>
        <w:pStyle w:val="ListParagraph"/>
        <w:numPr>
          <w:ilvl w:val="0"/>
          <w:numId w:val="2"/>
        </w:numPr>
        <w:spacing w:after="80"/>
      </w:pPr>
      <w:r>
        <w:rPr>
          <w:rFonts w:ascii="Calibri" w:cs="Calibri" w:eastAsia="Calibri" w:hAnsi="Calibri"/>
          <w:color w:val="111928"/>
          <w:sz w:val="22"/>
          <w:szCs w:val="22"/>
        </w:rPr>
        <w:t xml:space="preserve">Feature engineering pipeline (Chapter 3.2): lag variables t-1, t-2, t-3; rolling 3-year and 5-year means; composite policy stringency index (ETS price × ETS phase); carbon intensity (CO₂/TES); energy intensity ratios; interaction terms (price × coal emissions, ETS phase × renewable share); region and income-group dummy variables</w:t>
      </w:r>
    </w:p>
    <w:p>
      <w:pPr>
        <w:pStyle w:val="ListParagraph"/>
        <w:numPr>
          <w:ilvl w:val="0"/>
          <w:numId w:val="2"/>
        </w:numPr>
        <w:spacing w:after="80"/>
      </w:pPr>
      <w:r>
        <w:rPr>
          <w:rFonts w:ascii="Calibri" w:cs="Calibri" w:eastAsia="Calibri" w:hAnsi="Calibri"/>
          <w:color w:val="111928"/>
          <w:sz w:val="22"/>
          <w:szCs w:val="22"/>
        </w:rPr>
        <w:t xml:space="preserve">EU ETS Phase indicator: Phase I (2005–07), Phase II (2008–12), Phase III (2013–20), Phase IV (2021+)</w:t>
      </w:r>
    </w:p>
    <w:p>
      <w:pPr>
        <w:pStyle w:val="ListParagraph"/>
        <w:numPr>
          <w:ilvl w:val="0"/>
          <w:numId w:val="2"/>
        </w:numPr>
        <w:spacing w:after="80"/>
      </w:pPr>
      <w:r>
        <w:rPr>
          <w:rFonts w:ascii="Calibri" w:cs="Calibri" w:eastAsia="Calibri" w:hAnsi="Calibri"/>
          <w:color w:val="111928"/>
          <w:sz w:val="22"/>
          <w:szCs w:val="22"/>
        </w:rPr>
        <w:t xml:space="preserve">Chronological train/validation/test split (70/15/15) to prevent data leakage, per Bisiotis (2025) and Ozkan et al. (2025)</w:t>
      </w:r>
    </w:p>
    <w:p>
      <w:pPr>
        <w:spacing w:after="120"/>
      </w:pPr>
    </w:p>
    <w:p>
      <w:pPr>
        <w:pStyle w:val="Heading2"/>
        <w:spacing w:before="280" w:after="120"/>
      </w:pPr>
      <w:r>
        <w:rPr>
          <w:rFonts w:ascii="Calibri" w:cs="Calibri" w:eastAsia="Calibri" w:hAnsi="Calibri"/>
          <w:b/>
          <w:bCs/>
          <w:color w:val="111928"/>
          <w:sz w:val="28"/>
          <w:szCs w:val="28"/>
        </w:rPr>
        <w:t xml:space="preserve">2.2 Machine Learning Model Layer</w:t>
      </w:r>
    </w:p>
    <w:p>
      <w:pPr>
        <w:pStyle w:val="ListParagraph"/>
        <w:numPr>
          <w:ilvl w:val="0"/>
          <w:numId w:val="2"/>
        </w:numPr>
        <w:spacing w:after="80"/>
      </w:pPr>
      <w:r>
        <w:rPr>
          <w:rFonts w:ascii="Calibri" w:cs="Calibri" w:eastAsia="Calibri" w:hAnsi="Calibri"/>
          <w:color w:val="111928"/>
          <w:sz w:val="22"/>
          <w:szCs w:val="22"/>
        </w:rPr>
        <w:t xml:space="preserve">Hybrid ensemble architecture: Random Forest (baseline, permutation feature importance), XGBoost and LightGBM (complex non-linear relationships), CatBoost (categorical variable handling), LSTM and GRU recurrent networks for temporal dependencies (Ozkan et al., 2025)</w:t>
      </w:r>
    </w:p>
    <w:p>
      <w:pPr>
        <w:pStyle w:val="ListParagraph"/>
        <w:numPr>
          <w:ilvl w:val="0"/>
          <w:numId w:val="2"/>
        </w:numPr>
        <w:spacing w:after="80"/>
      </w:pPr>
      <w:r>
        <w:rPr>
          <w:rFonts w:ascii="Calibri" w:cs="Calibri" w:eastAsia="Calibri" w:hAnsi="Calibri"/>
          <w:color w:val="111928"/>
          <w:sz w:val="22"/>
          <w:szCs w:val="22"/>
        </w:rPr>
        <w:t xml:space="preserve">Three target variables: eu_ets_carbon_price_eur (continuous, regression), ghg_reduction_pct (year-on-year change, regression), policy_effectiveness_score (composite 0–1 score, Dolphin et al., 2024)</w:t>
      </w:r>
    </w:p>
    <w:p>
      <w:pPr>
        <w:pStyle w:val="ListParagraph"/>
        <w:numPr>
          <w:ilvl w:val="0"/>
          <w:numId w:val="2"/>
        </w:numPr>
        <w:spacing w:after="80"/>
      </w:pPr>
      <w:r>
        <w:rPr>
          <w:rFonts w:ascii="Calibri" w:cs="Calibri" w:eastAsia="Calibri" w:hAnsi="Calibri"/>
          <w:color w:val="111928"/>
          <w:sz w:val="22"/>
          <w:szCs w:val="22"/>
        </w:rPr>
        <w:t xml:space="preserve">Hyperparameter optimisation via Bayesian search (scikit-optimize or Optuna) with TimeSeriesSplit cross-validation</w:t>
      </w:r>
    </w:p>
    <w:p>
      <w:pPr>
        <w:pStyle w:val="ListParagraph"/>
        <w:numPr>
          <w:ilvl w:val="0"/>
          <w:numId w:val="2"/>
        </w:numPr>
        <w:spacing w:after="80"/>
      </w:pPr>
      <w:r>
        <w:rPr>
          <w:rFonts w:ascii="Calibri" w:cs="Calibri" w:eastAsia="Calibri" w:hAnsi="Calibri"/>
          <w:color w:val="111928"/>
          <w:sz w:val="22"/>
          <w:szCs w:val="22"/>
        </w:rPr>
        <w:t xml:space="preserve">Model evaluation metrics: Mean Absolute Error (MAE), Root Mean Squared Error (RMSE), R-squared (R²), directional accuracy for price predictions</w:t>
      </w:r>
    </w:p>
    <w:p>
      <w:pPr>
        <w:spacing w:after="120"/>
      </w:pPr>
    </w:p>
    <w:p>
      <w:pPr>
        <w:pStyle w:val="Heading2"/>
        <w:spacing w:before="280" w:after="120"/>
      </w:pPr>
      <w:r>
        <w:rPr>
          <w:rFonts w:ascii="Calibri" w:cs="Calibri" w:eastAsia="Calibri" w:hAnsi="Calibri"/>
          <w:b/>
          <w:bCs/>
          <w:color w:val="111928"/>
          <w:sz w:val="28"/>
          <w:szCs w:val="28"/>
        </w:rPr>
        <w:t xml:space="preserve">2.3 Explainability Layer (XAI Framework)</w:t>
      </w:r>
    </w:p>
    <w:p>
      <w:pPr>
        <w:pStyle w:val="ListParagraph"/>
        <w:numPr>
          <w:ilvl w:val="0"/>
          <w:numId w:val="2"/>
        </w:numPr>
        <w:spacing w:after="80"/>
      </w:pPr>
      <w:r>
        <w:rPr>
          <w:rFonts w:ascii="Calibri" w:cs="Calibri" w:eastAsia="Calibri" w:hAnsi="Calibri"/>
          <w:color w:val="111928"/>
          <w:sz w:val="22"/>
          <w:szCs w:val="22"/>
        </w:rPr>
        <w:t xml:space="preserve">Primary: SHAP (SHapley Additive exPlanations) using TreeExplainer for gradient boosting models; DeepExplainer for neural networks; satisfies efficiency, symmetry, dummy, and additivity axioms (Salih et al., 2024)</w:t>
      </w:r>
    </w:p>
    <w:p>
      <w:pPr>
        <w:pStyle w:val="ListParagraph"/>
        <w:numPr>
          <w:ilvl w:val="0"/>
          <w:numId w:val="2"/>
        </w:numPr>
        <w:spacing w:after="80"/>
      </w:pPr>
      <w:r>
        <w:rPr>
          <w:rFonts w:ascii="Calibri" w:cs="Calibri" w:eastAsia="Calibri" w:hAnsi="Calibri"/>
          <w:color w:val="111928"/>
          <w:sz w:val="22"/>
          <w:szCs w:val="22"/>
        </w:rPr>
        <w:t xml:space="preserve">Secondary: LIME (Local Interpretable Model-agnostic Explanations) for local linear approximations; used to validate SHAP consistency and provide complementary explanations</w:t>
      </w:r>
    </w:p>
    <w:p>
      <w:pPr>
        <w:pStyle w:val="ListParagraph"/>
        <w:numPr>
          <w:ilvl w:val="0"/>
          <w:numId w:val="2"/>
        </w:numPr>
        <w:spacing w:after="80"/>
      </w:pPr>
      <w:r>
        <w:rPr>
          <w:rFonts w:ascii="Calibri" w:cs="Calibri" w:eastAsia="Calibri" w:hAnsi="Calibri"/>
          <w:color w:val="111928"/>
          <w:sz w:val="22"/>
          <w:szCs w:val="22"/>
        </w:rPr>
        <w:t xml:space="preserve">Explanation artefacts: waterfall plots (individual predictions), beeswarm summary plots (global feature importance), bar charts (mean |SHAP|), dependence plots (feature × SHAP interaction)</w:t>
      </w:r>
    </w:p>
    <w:p>
      <w:pPr>
        <w:pStyle w:val="ListParagraph"/>
        <w:numPr>
          <w:ilvl w:val="0"/>
          <w:numId w:val="2"/>
        </w:numPr>
        <w:spacing w:after="80"/>
      </w:pPr>
      <w:r>
        <w:rPr>
          <w:rFonts w:ascii="Calibri" w:cs="Calibri" w:eastAsia="Calibri" w:hAnsi="Calibri"/>
          <w:color w:val="111928"/>
          <w:sz w:val="22"/>
          <w:szCs w:val="22"/>
        </w:rPr>
        <w:t xml:space="preserve">Claude API narrative generation (claude-sonnet-4-20250514): converts top-N SHAP features into policy-readable prose targeting non-technical stakeholders</w:t>
      </w:r>
    </w:p>
    <w:p>
      <w:pPr>
        <w:pStyle w:val="ListParagraph"/>
        <w:numPr>
          <w:ilvl w:val="0"/>
          <w:numId w:val="2"/>
        </w:numPr>
        <w:spacing w:after="80"/>
      </w:pPr>
      <w:r>
        <w:rPr>
          <w:rFonts w:ascii="Calibri" w:cs="Calibri" w:eastAsia="Calibri" w:hAnsi="Calibri"/>
          <w:color w:val="111928"/>
          <w:sz w:val="22"/>
          <w:szCs w:val="22"/>
        </w:rPr>
        <w:t xml:space="preserve">Explanation stability monitoring: automated checks for explanation consistency across similar input cases (Khan et al., 2024)</w:t>
      </w:r>
    </w:p>
    <w:p>
      <w:pPr>
        <w:spacing w:after="120"/>
      </w:pPr>
    </w:p>
    <w:p>
      <w:pPr>
        <w:pStyle w:val="Heading2"/>
        <w:spacing w:before="280" w:after="120"/>
      </w:pPr>
      <w:r>
        <w:rPr>
          <w:rFonts w:ascii="Calibri" w:cs="Calibri" w:eastAsia="Calibri" w:hAnsi="Calibri"/>
          <w:b/>
          <w:bCs/>
          <w:color w:val="111928"/>
          <w:sz w:val="28"/>
          <w:szCs w:val="28"/>
        </w:rPr>
        <w:t xml:space="preserve">2.4 Interactive Dashboard Layer</w:t>
      </w:r>
    </w:p>
    <w:p>
      <w:pPr>
        <w:pStyle w:val="ListParagraph"/>
        <w:numPr>
          <w:ilvl w:val="0"/>
          <w:numId w:val="2"/>
        </w:numPr>
        <w:spacing w:after="80"/>
      </w:pPr>
      <w:r>
        <w:rPr>
          <w:rFonts w:ascii="Calibri" w:cs="Calibri" w:eastAsia="Calibri" w:hAnsi="Calibri"/>
          <w:color w:val="111928"/>
          <w:sz w:val="22"/>
          <w:szCs w:val="22"/>
        </w:rPr>
        <w:t xml:space="preserve">Six-tab interface: Dashboard (overview), Predictions, Explainability, Policy Simulator, Model Metrics, Data Explorer</w:t>
      </w:r>
    </w:p>
    <w:p>
      <w:pPr>
        <w:pStyle w:val="ListParagraph"/>
        <w:numPr>
          <w:ilvl w:val="0"/>
          <w:numId w:val="2"/>
        </w:numPr>
        <w:spacing w:after="80"/>
      </w:pPr>
      <w:r>
        <w:rPr>
          <w:rFonts w:ascii="Calibri" w:cs="Calibri" w:eastAsia="Calibri" w:hAnsi="Calibri"/>
          <w:color w:val="111928"/>
          <w:sz w:val="22"/>
          <w:szCs w:val="22"/>
        </w:rPr>
        <w:t xml:space="preserve">Real-time scenario simulation with parameter sliders and dropdowns</w:t>
      </w:r>
    </w:p>
    <w:p>
      <w:pPr>
        <w:pStyle w:val="ListParagraph"/>
        <w:numPr>
          <w:ilvl w:val="0"/>
          <w:numId w:val="2"/>
        </w:numPr>
        <w:spacing w:after="80"/>
      </w:pPr>
      <w:r>
        <w:rPr>
          <w:rFonts w:ascii="Calibri" w:cs="Calibri" w:eastAsia="Calibri" w:hAnsi="Calibri"/>
          <w:color w:val="111928"/>
          <w:sz w:val="22"/>
          <w:szCs w:val="22"/>
        </w:rPr>
        <w:t xml:space="preserve">Multi-jurisdiction comparative analysis across EU ETS participating countries</w:t>
      </w:r>
    </w:p>
    <w:p>
      <w:pPr>
        <w:pStyle w:val="ListParagraph"/>
        <w:numPr>
          <w:ilvl w:val="0"/>
          <w:numId w:val="2"/>
        </w:numPr>
        <w:spacing w:after="80"/>
      </w:pPr>
      <w:r>
        <w:rPr>
          <w:rFonts w:ascii="Calibri" w:cs="Calibri" w:eastAsia="Calibri" w:hAnsi="Calibri"/>
          <w:color w:val="111928"/>
          <w:sz w:val="22"/>
          <w:szCs w:val="22"/>
        </w:rPr>
        <w:t xml:space="preserve">Temporal visualisation: historical trends (1971–2024) and policy projection scenarios</w:t>
      </w:r>
    </w:p>
    <w:p>
      <w:pPr>
        <w:pStyle w:val="ListParagraph"/>
        <w:numPr>
          <w:ilvl w:val="0"/>
          <w:numId w:val="2"/>
        </w:numPr>
        <w:spacing w:after="80"/>
      </w:pPr>
      <w:r>
        <w:rPr>
          <w:rFonts w:ascii="Calibri" w:cs="Calibri" w:eastAsia="Calibri" w:hAnsi="Calibri"/>
          <w:color w:val="111928"/>
          <w:sz w:val="22"/>
          <w:szCs w:val="22"/>
        </w:rPr>
        <w:t xml:space="preserve">Confidence interval bands on all predictions (model uncertainty communication)</w:t>
      </w:r>
    </w:p>
    <w:p>
      <w:pPr>
        <w:pStyle w:val="ListParagraph"/>
        <w:numPr>
          <w:ilvl w:val="0"/>
          <w:numId w:val="2"/>
        </w:numPr>
        <w:spacing w:after="80"/>
      </w:pPr>
      <w:r>
        <w:rPr>
          <w:rFonts w:ascii="Calibri" w:cs="Calibri" w:eastAsia="Calibri" w:hAnsi="Calibri"/>
          <w:color w:val="111928"/>
          <w:sz w:val="22"/>
          <w:szCs w:val="22"/>
        </w:rPr>
        <w:t xml:space="preserve">Export: all charts and tables downloadable as PNG, PDF, or CSV; SHAP values exportable as JSON/CSV</w:t>
      </w:r>
    </w:p>
    <w:p>
      <w:pPr>
        <w:pStyle w:val="ListParagraph"/>
        <w:numPr>
          <w:ilvl w:val="0"/>
          <w:numId w:val="2"/>
        </w:numPr>
        <w:spacing w:after="80"/>
      </w:pPr>
      <w:r>
        <w:rPr>
          <w:rFonts w:ascii="Calibri" w:cs="Calibri" w:eastAsia="Calibri" w:hAnsi="Calibri"/>
          <w:color w:val="111928"/>
          <w:sz w:val="22"/>
          <w:szCs w:val="22"/>
        </w:rPr>
        <w:t xml:space="preserve">Responsive design (desktop, tablet); accessibility: WCAG 2.1 AA colour contrast compliance</w:t>
      </w:r>
    </w:p>
    <w:p>
      <w:pPr>
        <w:spacing w:after="120"/>
      </w:pPr>
    </w:p>
    <w:p>
      <w:pPr>
        <w:pStyle w:val="Heading2"/>
        <w:spacing w:before="280" w:after="120"/>
      </w:pPr>
      <w:r>
        <w:rPr>
          <w:rFonts w:ascii="Calibri" w:cs="Calibri" w:eastAsia="Calibri" w:hAnsi="Calibri"/>
          <w:b/>
          <w:bCs/>
          <w:color w:val="111928"/>
          <w:sz w:val="28"/>
          <w:szCs w:val="28"/>
        </w:rPr>
        <w:t xml:space="preserve">2.5 Technology Stack</w:t>
      </w:r>
    </w:p>
    <w:p>
      <w:pPr>
        <w:pStyle w:val="ListParagraph"/>
        <w:numPr>
          <w:ilvl w:val="0"/>
          <w:numId w:val="2"/>
        </w:numPr>
        <w:spacing w:after="80"/>
      </w:pPr>
      <w:r>
        <w:rPr>
          <w:rFonts w:ascii="Calibri" w:cs="Calibri" w:eastAsia="Calibri" w:hAnsi="Calibri"/>
          <w:color w:val="111928"/>
          <w:sz w:val="22"/>
          <w:szCs w:val="22"/>
        </w:rPr>
        <w:t xml:space="preserve">Backend: Python (Flask/Django), NumPy, Pandas, scikit-learn, XGBoost, LightGBM, CatBoost, SHAP, LIME, Anthropic Python SDK</w:t>
      </w:r>
    </w:p>
    <w:p>
      <w:pPr>
        <w:pStyle w:val="ListParagraph"/>
        <w:numPr>
          <w:ilvl w:val="0"/>
          <w:numId w:val="2"/>
        </w:numPr>
        <w:spacing w:after="80"/>
      </w:pPr>
      <w:r>
        <w:rPr>
          <w:rFonts w:ascii="Calibri" w:cs="Calibri" w:eastAsia="Calibri" w:hAnsi="Calibri"/>
          <w:color w:val="111928"/>
          <w:sz w:val="22"/>
          <w:szCs w:val="22"/>
        </w:rPr>
        <w:t xml:space="preserve">Frontend: React.js or Vue.js (component-based), Plotly.js and D3.js for interactive visualisations</w:t>
      </w:r>
    </w:p>
    <w:p>
      <w:pPr>
        <w:pStyle w:val="ListParagraph"/>
        <w:numPr>
          <w:ilvl w:val="0"/>
          <w:numId w:val="2"/>
        </w:numPr>
        <w:spacing w:after="80"/>
      </w:pPr>
      <w:r>
        <w:rPr>
          <w:rFonts w:ascii="Calibri" w:cs="Calibri" w:eastAsia="Calibri" w:hAnsi="Calibri"/>
          <w:color w:val="111928"/>
          <w:sz w:val="22"/>
          <w:szCs w:val="22"/>
        </w:rPr>
        <w:t xml:space="preserve">API layer: RESTful endpoints with JSON serialisation, input validation, and response caching</w:t>
      </w:r>
    </w:p>
    <w:p>
      <w:pPr>
        <w:pStyle w:val="ListParagraph"/>
        <w:numPr>
          <w:ilvl w:val="0"/>
          <w:numId w:val="2"/>
        </w:numPr>
        <w:spacing w:after="80"/>
      </w:pPr>
      <w:r>
        <w:rPr>
          <w:rFonts w:ascii="Calibri" w:cs="Calibri" w:eastAsia="Calibri" w:hAnsi="Calibri"/>
          <w:color w:val="111928"/>
          <w:sz w:val="22"/>
          <w:szCs w:val="22"/>
        </w:rPr>
        <w:t xml:space="preserve">Modular architecture: independent data, model, explainability, and UI modules with defined interfaces (Matheus et al., 2020)</w:t>
      </w:r>
    </w:p>
    <w:p>
      <w:r>
        <w:br w:type="page"/>
      </w:r>
    </w:p>
    <w:p>
      <w:pPr>
        <w:pStyle w:val="Heading1"/>
        <w:spacing w:before="360" w:after="160"/>
      </w:pPr>
      <w:r>
        <w:rPr>
          <w:rFonts w:ascii="Calibri" w:cs="Calibri" w:eastAsia="Calibri" w:hAnsi="Calibri"/>
          <w:b/>
          <w:bCs/>
          <w:color w:val="1A56DB"/>
          <w:sz w:val="36"/>
          <w:szCs w:val="36"/>
        </w:rPr>
        <w:t xml:space="preserve">3. Tab-by-Tab Interface Description</w:t>
      </w:r>
    </w:p>
    <w:p>
      <w:pPr>
        <w:spacing w:after="140"/>
        <w:jc w:val="both"/>
      </w:pPr>
      <w:r>
        <w:rPr>
          <w:rFonts w:ascii="Calibri" w:cs="Calibri" w:eastAsia="Calibri" w:hAnsi="Calibri"/>
          <w:b w:val="false"/>
          <w:bCs w:val="false"/>
          <w:i w:val="false"/>
          <w:iCs w:val="false"/>
          <w:color w:val="111928"/>
          <w:sz w:val="22"/>
          <w:szCs w:val="22"/>
        </w:rPr>
        <w:t xml:space="preserve">The following six sections describe each tab of the application in detail: purpose, key visual elements, user interactions, and expected system behaviour. Each tab section concludes with a text-based wireframe layout.</w:t>
      </w:r>
    </w:p>
    <w:p>
      <w:pPr>
        <w:pBdr>
          <w:bottom w:val="single" w:color="1A56DB" w:sz="4"/>
        </w:pBdr>
        <w:spacing w:before="160" w:after="160"/>
      </w:pPr>
    </w:p>
    <w:p>
      <w:pPr>
        <w:pStyle w:val="Heading2"/>
        <w:spacing w:before="280" w:after="120"/>
      </w:pPr>
      <w:r>
        <w:rPr>
          <w:rFonts w:ascii="Calibri" w:cs="Calibri" w:eastAsia="Calibri" w:hAnsi="Calibri"/>
          <w:b/>
          <w:bCs/>
          <w:color w:val="111928"/>
          <w:sz w:val="28"/>
          <w:szCs w:val="28"/>
        </w:rPr>
        <w:t xml:space="preserve">3.1 Tab 1 — Dashboard (Overview)</w:t>
      </w:r>
    </w:p>
    <w:p>
      <w:pPr>
        <w:pStyle w:val="Heading3"/>
        <w:spacing w:before="200" w:after="80"/>
      </w:pPr>
      <w:r>
        <w:rPr>
          <w:rFonts w:ascii="Calibri" w:cs="Calibri" w:eastAsia="Calibri" w:hAnsi="Calibri"/>
          <w:b/>
          <w:bCs/>
          <w:color w:val="0E9F6E"/>
          <w:sz w:val="24"/>
          <w:szCs w:val="24"/>
        </w:rPr>
        <w:t xml:space="preserve">Purpose</w:t>
      </w:r>
    </w:p>
    <w:p>
      <w:pPr>
        <w:spacing w:after="140"/>
        <w:jc w:val="both"/>
      </w:pPr>
      <w:r>
        <w:rPr>
          <w:rFonts w:ascii="Calibri" w:cs="Calibri" w:eastAsia="Calibri" w:hAnsi="Calibri"/>
          <w:b w:val="false"/>
          <w:bCs w:val="false"/>
          <w:i w:val="false"/>
          <w:iCs w:val="false"/>
          <w:color w:val="111928"/>
          <w:sz w:val="22"/>
          <w:szCs w:val="22"/>
        </w:rPr>
        <w:t xml:space="preserve">The Dashboard tab provides a high-level at-a-glance overview of global and regional carbon pricing performance. It is the landing screen and is designed to communicate the most critical KPIs within 10 seconds of loading, following the "overview first, then zoom and filter, details on demand" principle (Matheus et al., 2020).</w:t>
      </w:r>
    </w:p>
    <w:p>
      <w:pPr>
        <w:spacing w:after="120"/>
      </w:pPr>
    </w:p>
    <w:p>
      <w:pPr>
        <w:pStyle w:val="Heading3"/>
        <w:spacing w:before="200" w:after="80"/>
      </w:pPr>
      <w:r>
        <w:rPr>
          <w:rFonts w:ascii="Calibri" w:cs="Calibri" w:eastAsia="Calibri" w:hAnsi="Calibri"/>
          <w:b/>
          <w:bCs/>
          <w:color w:val="0E9F6E"/>
          <w:sz w:val="24"/>
          <w:szCs w:val="24"/>
        </w:rPr>
        <w:t xml:space="preserve">Key Visual Elements</w:t>
      </w:r>
    </w:p>
    <w:p>
      <w:pPr>
        <w:pStyle w:val="ListParagraph"/>
        <w:numPr>
          <w:ilvl w:val="0"/>
          <w:numId w:val="2"/>
        </w:numPr>
        <w:spacing w:after="80"/>
      </w:pPr>
      <w:r>
        <w:rPr>
          <w:rFonts w:ascii="Calibri" w:cs="Calibri" w:eastAsia="Calibri" w:hAnsi="Calibri"/>
          <w:color w:val="111928"/>
          <w:sz w:val="22"/>
          <w:szCs w:val="22"/>
        </w:rPr>
        <w:t xml:space="preserve">KPI cards (top row, 4 cards): Current EU ETS carbon price (EUR/tonne, with year-on-year delta arrow), Global GHG from energy (Mt CO₂eq, latest year), Average policy effectiveness score (0–1 composite), Number of active ETS installations</w:t>
      </w:r>
    </w:p>
    <w:p>
      <w:pPr>
        <w:pStyle w:val="ListParagraph"/>
        <w:numPr>
          <w:ilvl w:val="0"/>
          <w:numId w:val="2"/>
        </w:numPr>
        <w:spacing w:after="80"/>
      </w:pPr>
      <w:r>
        <w:rPr>
          <w:rFonts w:ascii="Calibri" w:cs="Calibri" w:eastAsia="Calibri" w:hAnsi="Calibri"/>
          <w:color w:val="111928"/>
          <w:sz w:val="22"/>
          <w:szCs w:val="22"/>
        </w:rPr>
        <w:t xml:space="preserve">Global GHG Trend Line chart (1990–2024): area chart with ETS Phase annotations (vertical dashed lines) and COVID-19 marker; colour-coded by OECD vs non-OECD</w:t>
      </w:r>
    </w:p>
    <w:p>
      <w:pPr>
        <w:pStyle w:val="ListParagraph"/>
        <w:numPr>
          <w:ilvl w:val="0"/>
          <w:numId w:val="2"/>
        </w:numPr>
        <w:spacing w:after="80"/>
      </w:pPr>
      <w:r>
        <w:rPr>
          <w:rFonts w:ascii="Calibri" w:cs="Calibri" w:eastAsia="Calibri" w:hAnsi="Calibri"/>
          <w:color w:val="111928"/>
          <w:sz w:val="22"/>
          <w:szCs w:val="22"/>
        </w:rPr>
        <w:t xml:space="preserve">EU ETS Carbon Price Bar chart (2005–2024): bars coloured by ETS phase using chart palette</w:t>
      </w:r>
    </w:p>
    <w:p>
      <w:pPr>
        <w:pStyle w:val="ListParagraph"/>
        <w:numPr>
          <w:ilvl w:val="0"/>
          <w:numId w:val="2"/>
        </w:numPr>
        <w:spacing w:after="80"/>
      </w:pPr>
      <w:r>
        <w:rPr>
          <w:rFonts w:ascii="Calibri" w:cs="Calibri" w:eastAsia="Calibri" w:hAnsi="Calibri"/>
          <w:color w:val="111928"/>
          <w:sz w:val="22"/>
          <w:szCs w:val="22"/>
        </w:rPr>
        <w:t xml:space="preserve">Policy Effectiveness Heatmap: countries × years grid, colour intensity = effectiveness score</w:t>
      </w:r>
    </w:p>
    <w:p>
      <w:pPr>
        <w:pStyle w:val="ListParagraph"/>
        <w:numPr>
          <w:ilvl w:val="0"/>
          <w:numId w:val="2"/>
        </w:numPr>
        <w:spacing w:after="80"/>
      </w:pPr>
      <w:r>
        <w:rPr>
          <w:rFonts w:ascii="Calibri" w:cs="Calibri" w:eastAsia="Calibri" w:hAnsi="Calibri"/>
          <w:color w:val="111928"/>
          <w:sz w:val="22"/>
          <w:szCs w:val="22"/>
        </w:rPr>
        <w:t xml:space="preserve">Fuel-type emissions stacked area (Coal, Gas, Oil, Other): global 1990–2024</w:t>
      </w:r>
    </w:p>
    <w:p>
      <w:pPr>
        <w:pStyle w:val="ListParagraph"/>
        <w:numPr>
          <w:ilvl w:val="0"/>
          <w:numId w:val="2"/>
        </w:numPr>
        <w:spacing w:after="80"/>
      </w:pPr>
      <w:r>
        <w:rPr>
          <w:rFonts w:ascii="Calibri" w:cs="Calibri" w:eastAsia="Calibri" w:hAnsi="Calibri"/>
          <w:color w:val="111928"/>
          <w:sz w:val="22"/>
          <w:szCs w:val="22"/>
        </w:rPr>
        <w:t xml:space="preserve">Country selector (multi-select dropdown) and Year range slider (1990–2024) in the sidebar — affect all charts globally</w:t>
      </w:r>
    </w:p>
    <w:p>
      <w:pPr>
        <w:spacing w:after="120"/>
      </w:pPr>
    </w:p>
    <w:p>
      <w:pPr>
        <w:pStyle w:val="Heading3"/>
        <w:spacing w:before="200" w:after="80"/>
      </w:pPr>
      <w:r>
        <w:rPr>
          <w:rFonts w:ascii="Calibri" w:cs="Calibri" w:eastAsia="Calibri" w:hAnsi="Calibri"/>
          <w:b/>
          <w:bCs/>
          <w:color w:val="0E9F6E"/>
          <w:sz w:val="24"/>
          <w:szCs w:val="24"/>
        </w:rPr>
        <w:t xml:space="preserve">User Interactions</w:t>
      </w:r>
    </w:p>
    <w:p>
      <w:pPr>
        <w:pStyle w:val="ListParagraph"/>
        <w:numPr>
          <w:ilvl w:val="0"/>
          <w:numId w:val="3"/>
        </w:numPr>
        <w:spacing w:after="80"/>
      </w:pPr>
      <w:r>
        <w:rPr>
          <w:rFonts w:ascii="Calibri" w:cs="Calibri" w:eastAsia="Calibri" w:hAnsi="Calibri"/>
          <w:color w:val="111928"/>
          <w:sz w:val="22"/>
          <w:szCs w:val="22"/>
        </w:rPr>
        <w:t xml:space="preserve">Select one or more countries from the sidebar dropdown → all charts update</w:t>
      </w:r>
    </w:p>
    <w:p>
      <w:pPr>
        <w:pStyle w:val="ListParagraph"/>
        <w:numPr>
          <w:ilvl w:val="0"/>
          <w:numId w:val="3"/>
        </w:numPr>
        <w:spacing w:after="80"/>
      </w:pPr>
      <w:r>
        <w:rPr>
          <w:rFonts w:ascii="Calibri" w:cs="Calibri" w:eastAsia="Calibri" w:hAnsi="Calibri"/>
          <w:color w:val="111928"/>
          <w:sz w:val="22"/>
          <w:szCs w:val="22"/>
        </w:rPr>
        <w:t xml:space="preserve">Drag year-range slider → temporal zoom applied to all charts</w:t>
      </w:r>
    </w:p>
    <w:p>
      <w:pPr>
        <w:pStyle w:val="ListParagraph"/>
        <w:numPr>
          <w:ilvl w:val="0"/>
          <w:numId w:val="3"/>
        </w:numPr>
        <w:spacing w:after="80"/>
      </w:pPr>
      <w:r>
        <w:rPr>
          <w:rFonts w:ascii="Calibri" w:cs="Calibri" w:eastAsia="Calibri" w:hAnsi="Calibri"/>
          <w:color w:val="111928"/>
          <w:sz w:val="22"/>
          <w:szCs w:val="22"/>
        </w:rPr>
        <w:t xml:space="preserve">Click any country on the heatmap → auto-navigate to Predictions tab filtered for that country</w:t>
      </w:r>
    </w:p>
    <w:p>
      <w:pPr>
        <w:pStyle w:val="ListParagraph"/>
        <w:numPr>
          <w:ilvl w:val="0"/>
          <w:numId w:val="3"/>
        </w:numPr>
        <w:spacing w:after="80"/>
      </w:pPr>
      <w:r>
        <w:rPr>
          <w:rFonts w:ascii="Calibri" w:cs="Calibri" w:eastAsia="Calibri" w:hAnsi="Calibri"/>
          <w:color w:val="111928"/>
          <w:sz w:val="22"/>
          <w:szCs w:val="22"/>
        </w:rPr>
        <w:t xml:space="preserve">Hover on any data point → tooltip showing value, year, country, data source attribution</w:t>
      </w:r>
    </w:p>
    <w:p>
      <w:pPr>
        <w:spacing w:after="120"/>
      </w:pPr>
    </w:p>
    <w:p>
      <w:pPr>
        <w:pStyle w:val="Heading3"/>
        <w:spacing w:before="200" w:after="80"/>
      </w:pPr>
      <w:r>
        <w:rPr>
          <w:rFonts w:ascii="Calibri" w:cs="Calibri" w:eastAsia="Calibri" w:hAnsi="Calibri"/>
          <w:b/>
          <w:bCs/>
          <w:color w:val="0E9F6E"/>
          <w:sz w:val="24"/>
          <w:szCs w:val="24"/>
        </w:rPr>
        <w:t xml:space="preserve">Expected Behaviour</w:t>
      </w:r>
    </w:p>
    <w:p>
      <w:pPr>
        <w:spacing w:after="140"/>
        <w:jc w:val="both"/>
      </w:pPr>
      <w:r>
        <w:rPr>
          <w:rFonts w:ascii="Calibri" w:cs="Calibri" w:eastAsia="Calibri" w:hAnsi="Calibri"/>
          <w:b w:val="false"/>
          <w:bCs w:val="false"/>
          <w:i w:val="false"/>
          <w:iCs w:val="false"/>
          <w:color w:val="111928"/>
          <w:sz w:val="22"/>
          <w:szCs w:val="22"/>
        </w:rPr>
        <w:t xml:space="preserve">On load, the dashboard displays World-level aggregates for the most recent available year. All charts update within 500ms of any filter change. Loading spinners appear for any operation exceeding 200ms. The colour palette ensures WCAG 2.1 AA contrast on the #F4F6F9 background.</w:t>
      </w:r>
    </w:p>
    <w:p>
      <w:pPr>
        <w:spacing w:after="120"/>
      </w:pPr>
    </w:p>
    <w:p>
      <w:pPr>
        <w:pStyle w:val="Heading3"/>
        <w:spacing w:before="200" w:after="80"/>
      </w:pPr>
      <w:r>
        <w:rPr>
          <w:rFonts w:ascii="Calibri" w:cs="Calibri" w:eastAsia="Calibri" w:hAnsi="Calibri"/>
          <w:b/>
          <w:bCs/>
          <w:color w:val="0E9F6E"/>
          <w:sz w:val="24"/>
          <w:szCs w:val="24"/>
        </w:rPr>
        <w:t xml:space="preserve">Wireframe — Tab 1: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2FB" w:val="clear"/>
            <w:tcMar>
              <w:top w:type="dxa" w:w="200"/>
              <w:left w:type="dxa" w:w="200"/>
              <w:bottom w:type="dxa" w:w="200"/>
              <w:right w:type="dxa" w:w="200"/>
            </w:tcMar>
            <w:vAlign w:val="center"/>
          </w:tcPr>
          <w:p>
            <w:pPr>
              <w:jc w:val="center"/>
            </w:pPr>
            <w:r>
              <w:rPr>
                <w:rFonts w:ascii="Calibri" w:cs="Calibri" w:eastAsia="Calibri" w:hAnsi="Calibri"/>
                <w:i/>
                <w:iCs/>
                <w:color w:val="6B7280"/>
                <w:sz w:val="22"/>
                <w:szCs w:val="22"/>
              </w:rPr>
              <w:t xml:space="preserve">[Insert Wireframe: Dashboard Tab]
  ┌───────────┐ ┌───────────┐ ┌───────────┐ ┌───────────┐
  │ ETS Price │ │ Global GHG│ │Policy Eff.│ │ETS Instal.│
  │ €65/t ▼  │ │38,987 Mt  │ │   0.54    │ │  ~10,676  │
  └───────────┘ └───────────┘ └───────────┘ └───────────┘
  ┌─────────────────────────┐ ┌─────────────────────────┐
  │ GHG Trend (1990–2024)   │ │ ETS Price Bars 2005–2024│
  │ [Area chart with ETS    │ │ [Bars coloured by Phase] │
  │  Phase annotations]     │ │                          │
  └─────────────────────────┘ └─────────────────────────┘
  ┌─────────────────────────┐ ┌─────────────────────────┐
  │ Policy Effectiveness     │ │ Fuel-type Emissions      │
  │ Heatmap (Country×Year)  │ │ Stacked Area             │
  └─────────────────────────┘ └─────────────────────────┘</w:t>
            </w:r>
          </w:p>
        </w:tc>
      </w:tr>
    </w:tbl>
    <w:p>
      <w:r>
        <w:br w:type="page"/>
      </w:r>
    </w:p>
    <w:p>
      <w:pPr>
        <w:pStyle w:val="Heading2"/>
        <w:spacing w:before="280" w:after="120"/>
      </w:pPr>
      <w:r>
        <w:rPr>
          <w:rFonts w:ascii="Calibri" w:cs="Calibri" w:eastAsia="Calibri" w:hAnsi="Calibri"/>
          <w:b/>
          <w:bCs/>
          <w:color w:val="111928"/>
          <w:sz w:val="28"/>
          <w:szCs w:val="28"/>
        </w:rPr>
        <w:t xml:space="preserve">3.2 Tab 2 — Predictions</w:t>
      </w:r>
    </w:p>
    <w:p>
      <w:pPr>
        <w:pStyle w:val="Heading3"/>
        <w:spacing w:before="200" w:after="80"/>
      </w:pPr>
      <w:r>
        <w:rPr>
          <w:rFonts w:ascii="Calibri" w:cs="Calibri" w:eastAsia="Calibri" w:hAnsi="Calibri"/>
          <w:b/>
          <w:bCs/>
          <w:color w:val="0E9F6E"/>
          <w:sz w:val="24"/>
          <w:szCs w:val="24"/>
        </w:rPr>
        <w:t xml:space="preserve">Purpose</w:t>
      </w:r>
    </w:p>
    <w:p>
      <w:pPr>
        <w:spacing w:after="140"/>
        <w:jc w:val="both"/>
      </w:pPr>
      <w:r>
        <w:rPr>
          <w:rFonts w:ascii="Calibri" w:cs="Calibri" w:eastAsia="Calibri" w:hAnsi="Calibri"/>
          <w:b w:val="false"/>
          <w:bCs w:val="false"/>
          <w:i w:val="false"/>
          <w:iCs w:val="false"/>
          <w:color w:val="111928"/>
          <w:sz w:val="22"/>
          <w:szCs w:val="22"/>
        </w:rPr>
        <w:t xml:space="preserve">The Predictions tab exposes the machine learning model outputs: predicted values for all three targets (EU ETS carbon price, GHG reduction percentage, and policy effectiveness score) with uncertainty bounds. This implements the hybrid ML pipeline described in Chapter 3.3 (XGBoost, Random Forest, LightGBM, neural architectures).</w:t>
      </w:r>
    </w:p>
    <w:p>
      <w:pPr>
        <w:spacing w:after="120"/>
      </w:pPr>
    </w:p>
    <w:p>
      <w:pPr>
        <w:pStyle w:val="Heading3"/>
        <w:spacing w:before="200" w:after="80"/>
      </w:pPr>
      <w:r>
        <w:rPr>
          <w:rFonts w:ascii="Calibri" w:cs="Calibri" w:eastAsia="Calibri" w:hAnsi="Calibri"/>
          <w:b/>
          <w:bCs/>
          <w:color w:val="0E9F6E"/>
          <w:sz w:val="24"/>
          <w:szCs w:val="24"/>
        </w:rPr>
        <w:t xml:space="preserve">Key Visual Elements</w:t>
      </w:r>
    </w:p>
    <w:p>
      <w:pPr>
        <w:pStyle w:val="ListParagraph"/>
        <w:numPr>
          <w:ilvl w:val="0"/>
          <w:numId w:val="2"/>
        </w:numPr>
        <w:spacing w:after="80"/>
      </w:pPr>
      <w:r>
        <w:rPr>
          <w:rFonts w:ascii="Calibri" w:cs="Calibri" w:eastAsia="Calibri" w:hAnsi="Calibri"/>
          <w:color w:val="111928"/>
          <w:sz w:val="22"/>
          <w:szCs w:val="22"/>
        </w:rPr>
        <w:t xml:space="preserve">Model selector dropdown: choose between XGBoost, LightGBM, Random Forest, LSTM, or Ensemble</w:t>
      </w:r>
    </w:p>
    <w:p>
      <w:pPr>
        <w:pStyle w:val="ListParagraph"/>
        <w:numPr>
          <w:ilvl w:val="0"/>
          <w:numId w:val="2"/>
        </w:numPr>
        <w:spacing w:after="80"/>
      </w:pPr>
      <w:r>
        <w:rPr>
          <w:rFonts w:ascii="Calibri" w:cs="Calibri" w:eastAsia="Calibri" w:hAnsi="Calibri"/>
          <w:color w:val="111928"/>
          <w:sz w:val="22"/>
          <w:szCs w:val="22"/>
        </w:rPr>
        <w:t xml:space="preserve">Target selector: eu_ets_carbon_price_eur, ghg_reduction_pct, policy_effectiveness_score</w:t>
      </w:r>
    </w:p>
    <w:p>
      <w:pPr>
        <w:pStyle w:val="ListParagraph"/>
        <w:numPr>
          <w:ilvl w:val="0"/>
          <w:numId w:val="2"/>
        </w:numPr>
        <w:spacing w:after="80"/>
      </w:pPr>
      <w:r>
        <w:rPr>
          <w:rFonts w:ascii="Calibri" w:cs="Calibri" w:eastAsia="Calibri" w:hAnsi="Calibri"/>
          <w:color w:val="111928"/>
          <w:sz w:val="22"/>
          <w:szCs w:val="22"/>
        </w:rPr>
        <w:t xml:space="preserve">Predicted vs Actual scatter plot (test set): perfect-fit diagonal, R² annotation, residual colour-coding</w:t>
      </w:r>
    </w:p>
    <w:p>
      <w:pPr>
        <w:pStyle w:val="ListParagraph"/>
        <w:numPr>
          <w:ilvl w:val="0"/>
          <w:numId w:val="2"/>
        </w:numPr>
        <w:spacing w:after="80"/>
      </w:pPr>
      <w:r>
        <w:rPr>
          <w:rFonts w:ascii="Calibri" w:cs="Calibri" w:eastAsia="Calibri" w:hAnsi="Calibri"/>
          <w:color w:val="111928"/>
          <w:sz w:val="22"/>
          <w:szCs w:val="22"/>
        </w:rPr>
        <w:t xml:space="preserve">Prediction time-series panel: historical actuals (solid line) + model predictions (dashed) + 95% confidence interval ribbon</w:t>
      </w:r>
    </w:p>
    <w:p>
      <w:pPr>
        <w:pStyle w:val="ListParagraph"/>
        <w:numPr>
          <w:ilvl w:val="0"/>
          <w:numId w:val="2"/>
        </w:numPr>
        <w:spacing w:after="80"/>
      </w:pPr>
      <w:r>
        <w:rPr>
          <w:rFonts w:ascii="Calibri" w:cs="Calibri" w:eastAsia="Calibri" w:hAnsi="Calibri"/>
          <w:color w:val="111928"/>
          <w:sz w:val="22"/>
          <w:szCs w:val="22"/>
        </w:rPr>
        <w:t xml:space="preserve">Residuals panel: residuals over time (bar chart) and residual distribution (histogram with normal-fit overlay)</w:t>
      </w:r>
    </w:p>
    <w:p>
      <w:pPr>
        <w:pStyle w:val="ListParagraph"/>
        <w:numPr>
          <w:ilvl w:val="0"/>
          <w:numId w:val="2"/>
        </w:numPr>
        <w:spacing w:after="80"/>
      </w:pPr>
      <w:r>
        <w:rPr>
          <w:rFonts w:ascii="Calibri" w:cs="Calibri" w:eastAsia="Calibri" w:hAnsi="Calibri"/>
          <w:color w:val="111928"/>
          <w:sz w:val="22"/>
          <w:szCs w:val="22"/>
        </w:rPr>
        <w:t xml:space="preserve">Country and year filter (consistent with Dashboard sidebar)</w:t>
      </w:r>
    </w:p>
    <w:p>
      <w:pPr>
        <w:pStyle w:val="ListParagraph"/>
        <w:numPr>
          <w:ilvl w:val="0"/>
          <w:numId w:val="2"/>
        </w:numPr>
        <w:spacing w:after="80"/>
      </w:pPr>
      <w:r>
        <w:rPr>
          <w:rFonts w:ascii="Calibri" w:cs="Calibri" w:eastAsia="Calibri" w:hAnsi="Calibri"/>
          <w:color w:val="111928"/>
          <w:sz w:val="22"/>
          <w:szCs w:val="22"/>
        </w:rPr>
        <w:t xml:space="preserve">Metrics table (below charts): MAE, RMSE, R² for Train / Val / Test splits</w:t>
      </w:r>
    </w:p>
    <w:p>
      <w:pPr>
        <w:spacing w:after="120"/>
      </w:pPr>
    </w:p>
    <w:p>
      <w:pPr>
        <w:pStyle w:val="Heading3"/>
        <w:spacing w:before="200" w:after="80"/>
      </w:pPr>
      <w:r>
        <w:rPr>
          <w:rFonts w:ascii="Calibri" w:cs="Calibri" w:eastAsia="Calibri" w:hAnsi="Calibri"/>
          <w:b/>
          <w:bCs/>
          <w:color w:val="0E9F6E"/>
          <w:sz w:val="24"/>
          <w:szCs w:val="24"/>
        </w:rPr>
        <w:t xml:space="preserve">User Interactions</w:t>
      </w:r>
    </w:p>
    <w:p>
      <w:pPr>
        <w:pStyle w:val="ListParagraph"/>
        <w:numPr>
          <w:ilvl w:val="0"/>
          <w:numId w:val="3"/>
        </w:numPr>
        <w:spacing w:after="80"/>
      </w:pPr>
      <w:r>
        <w:rPr>
          <w:rFonts w:ascii="Calibri" w:cs="Calibri" w:eastAsia="Calibri" w:hAnsi="Calibri"/>
          <w:color w:val="111928"/>
          <w:sz w:val="22"/>
          <w:szCs w:val="22"/>
        </w:rPr>
        <w:t xml:space="preserve">Select model → Metrics table and all charts update to reflect chosen model performance</w:t>
      </w:r>
    </w:p>
    <w:p>
      <w:pPr>
        <w:pStyle w:val="ListParagraph"/>
        <w:numPr>
          <w:ilvl w:val="0"/>
          <w:numId w:val="3"/>
        </w:numPr>
        <w:spacing w:after="80"/>
      </w:pPr>
      <w:r>
        <w:rPr>
          <w:rFonts w:ascii="Calibri" w:cs="Calibri" w:eastAsia="Calibri" w:hAnsi="Calibri"/>
          <w:color w:val="111928"/>
          <w:sz w:val="22"/>
          <w:szCs w:val="22"/>
        </w:rPr>
        <w:t xml:space="preserve">Select target variable → all visualisations re-render for that target</w:t>
      </w:r>
    </w:p>
    <w:p>
      <w:pPr>
        <w:pStyle w:val="ListParagraph"/>
        <w:numPr>
          <w:ilvl w:val="0"/>
          <w:numId w:val="3"/>
        </w:numPr>
        <w:spacing w:after="80"/>
      </w:pPr>
      <w:r>
        <w:rPr>
          <w:rFonts w:ascii="Calibri" w:cs="Calibri" w:eastAsia="Calibri" w:hAnsi="Calibri"/>
          <w:color w:val="111928"/>
          <w:sz w:val="22"/>
          <w:szCs w:val="22"/>
        </w:rPr>
        <w:t xml:space="preserve">Hover scatter point → tooltip: Country, Year, Actual value, Predicted value, Residual</w:t>
      </w:r>
    </w:p>
    <w:p>
      <w:pPr>
        <w:pStyle w:val="ListParagraph"/>
        <w:numPr>
          <w:ilvl w:val="0"/>
          <w:numId w:val="3"/>
        </w:numPr>
        <w:spacing w:after="80"/>
      </w:pPr>
      <w:r>
        <w:rPr>
          <w:rFonts w:ascii="Calibri" w:cs="Calibri" w:eastAsia="Calibri" w:hAnsi="Calibri"/>
          <w:color w:val="111928"/>
          <w:sz w:val="22"/>
          <w:szCs w:val="22"/>
        </w:rPr>
        <w:t xml:space="preserve">Click "Export Predictions" → download CSV of actuals + predictions for the selected model and country filter</w:t>
      </w:r>
    </w:p>
    <w:p>
      <w:pPr>
        <w:spacing w:after="120"/>
      </w:pPr>
    </w:p>
    <w:p>
      <w:pPr>
        <w:pStyle w:val="Heading3"/>
        <w:spacing w:before="200" w:after="80"/>
      </w:pPr>
      <w:r>
        <w:rPr>
          <w:rFonts w:ascii="Calibri" w:cs="Calibri" w:eastAsia="Calibri" w:hAnsi="Calibri"/>
          <w:b/>
          <w:bCs/>
          <w:color w:val="0E9F6E"/>
          <w:sz w:val="24"/>
          <w:szCs w:val="24"/>
        </w:rPr>
        <w:t xml:space="preserve">Expected Behaviour</w:t>
      </w:r>
    </w:p>
    <w:p>
      <w:pPr>
        <w:spacing w:after="140"/>
        <w:jc w:val="both"/>
      </w:pPr>
      <w:r>
        <w:rPr>
          <w:rFonts w:ascii="Calibri" w:cs="Calibri" w:eastAsia="Calibri" w:hAnsi="Calibri"/>
          <w:b w:val="false"/>
          <w:bCs w:val="false"/>
          <w:i w:val="false"/>
          <w:iCs w:val="false"/>
          <w:color w:val="111928"/>
          <w:sz w:val="22"/>
          <w:szCs w:val="22"/>
        </w:rPr>
        <w:t xml:space="preserve">Model inference results are pre-computed and cached; tab loads within 1s. Real-time inference is triggered only when Simulator tab is active. Confidence intervals are derived from quantile regression on the same training data. Where actuals are unavailable (future years in Simulator), only the prediction ribbon is shown with a clear "Projection" label.</w:t>
      </w:r>
    </w:p>
    <w:p>
      <w:pPr>
        <w:spacing w:after="120"/>
      </w:pPr>
    </w:p>
    <w:p>
      <w:pPr>
        <w:pStyle w:val="Heading3"/>
        <w:spacing w:before="200" w:after="80"/>
      </w:pPr>
      <w:r>
        <w:rPr>
          <w:rFonts w:ascii="Calibri" w:cs="Calibri" w:eastAsia="Calibri" w:hAnsi="Calibri"/>
          <w:b/>
          <w:bCs/>
          <w:color w:val="0E9F6E"/>
          <w:sz w:val="24"/>
          <w:szCs w:val="24"/>
        </w:rPr>
        <w:t xml:space="preserve">Wireframe — Tab 2: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2FB" w:val="clear"/>
            <w:tcMar>
              <w:top w:type="dxa" w:w="200"/>
              <w:left w:type="dxa" w:w="200"/>
              <w:bottom w:type="dxa" w:w="200"/>
              <w:right w:type="dxa" w:w="200"/>
            </w:tcMar>
            <w:vAlign w:val="center"/>
          </w:tcPr>
          <w:p>
            <w:pPr>
              <w:jc w:val="center"/>
            </w:pPr>
            <w:r>
              <w:rPr>
                <w:rFonts w:ascii="Calibri" w:cs="Calibri" w:eastAsia="Calibri" w:hAnsi="Calibri"/>
                <w:i/>
                <w:iCs/>
                <w:color w:val="6B7280"/>
                <w:sz w:val="22"/>
                <w:szCs w:val="22"/>
              </w:rPr>
              <w:t xml:space="preserve">[Insert Wireframe: Predictions Tab]
  Model: [XGBoost ▾] Target: [Policy Effectiveness ▾]
  ┌───────────────────────────┐ ┌───────────────────────────┐
  │ Predicted vs Actual       │ │ Time Series: Actual vs     │
  │ Scatter Plot (R²=0.82)    │ │ Predicted + 95% CI ribbon  │
  └───────────────────────────┘ └───────────────────────────┘
  ┌───────────────────────────┐ ┌──────────────────────────┐
  │ Residuals Over Time       │ │ Metrics Table             │
  │ [Bar chart]               │ │ Split  MAE  RMSE  R²      │
  │                           │ │ Train  ...  ...   ...     │
  └───────────────────────────┘ └──────────────────────────┘</w:t>
            </w:r>
          </w:p>
        </w:tc>
      </w:tr>
    </w:tbl>
    <w:p>
      <w:r>
        <w:br w:type="page"/>
      </w:r>
    </w:p>
    <w:p>
      <w:pPr>
        <w:pStyle w:val="Heading2"/>
        <w:spacing w:before="280" w:after="120"/>
      </w:pPr>
      <w:r>
        <w:rPr>
          <w:rFonts w:ascii="Calibri" w:cs="Calibri" w:eastAsia="Calibri" w:hAnsi="Calibri"/>
          <w:b/>
          <w:bCs/>
          <w:color w:val="111928"/>
          <w:sz w:val="28"/>
          <w:szCs w:val="28"/>
        </w:rPr>
        <w:t xml:space="preserve">3.3 Tab 3 — Explainability (XAI Panel)</w:t>
      </w:r>
    </w:p>
    <w:p>
      <w:pPr>
        <w:pStyle w:val="Heading3"/>
        <w:spacing w:before="200" w:after="80"/>
      </w:pPr>
      <w:r>
        <w:rPr>
          <w:rFonts w:ascii="Calibri" w:cs="Calibri" w:eastAsia="Calibri" w:hAnsi="Calibri"/>
          <w:b/>
          <w:bCs/>
          <w:color w:val="0E9F6E"/>
          <w:sz w:val="24"/>
          <w:szCs w:val="24"/>
        </w:rPr>
        <w:t xml:space="preserve">Purpose</w:t>
      </w:r>
    </w:p>
    <w:p>
      <w:pPr>
        <w:spacing w:after="140"/>
        <w:jc w:val="both"/>
      </w:pPr>
      <w:r>
        <w:rPr>
          <w:rFonts w:ascii="Calibri" w:cs="Calibri" w:eastAsia="Calibri" w:hAnsi="Calibri"/>
          <w:b w:val="false"/>
          <w:bCs w:val="false"/>
          <w:i w:val="false"/>
          <w:iCs w:val="false"/>
          <w:color w:val="111928"/>
          <w:sz w:val="22"/>
          <w:szCs w:val="22"/>
        </w:rPr>
        <w:t xml:space="preserve">The Explainability tab is the core XAI contribution of the system. It surfaces SHAP and LIME explanations at both global (dataset-level) and local (individual prediction) granularity, directly addressing the interpretability gap described in Sections 1.1 and 2.2 of the dissertation. It also displays the Claude API-generated plain-language narrative.</w:t>
      </w:r>
    </w:p>
    <w:p>
      <w:pPr>
        <w:spacing w:after="120"/>
      </w:pPr>
    </w:p>
    <w:p>
      <w:pPr>
        <w:pStyle w:val="Heading3"/>
        <w:spacing w:before="200" w:after="80"/>
      </w:pPr>
      <w:r>
        <w:rPr>
          <w:rFonts w:ascii="Calibri" w:cs="Calibri" w:eastAsia="Calibri" w:hAnsi="Calibri"/>
          <w:b/>
          <w:bCs/>
          <w:color w:val="0E9F6E"/>
          <w:sz w:val="24"/>
          <w:szCs w:val="24"/>
        </w:rPr>
        <w:t xml:space="preserve">Key Visual Elements</w:t>
      </w:r>
    </w:p>
    <w:p>
      <w:pPr>
        <w:pStyle w:val="ListParagraph"/>
        <w:numPr>
          <w:ilvl w:val="0"/>
          <w:numId w:val="2"/>
        </w:numPr>
        <w:spacing w:after="80"/>
      </w:pPr>
      <w:r>
        <w:rPr>
          <w:rFonts w:ascii="Calibri" w:cs="Calibri" w:eastAsia="Calibri" w:hAnsi="Calibri"/>
          <w:color w:val="111928"/>
          <w:sz w:val="22"/>
          <w:szCs w:val="22"/>
        </w:rPr>
        <w:t xml:space="preserve">Explanation mode toggle: Global Explanations / Local Explanation (single instance)</w:t>
      </w:r>
    </w:p>
    <w:p>
      <w:pPr>
        <w:pStyle w:val="ListParagraph"/>
        <w:numPr>
          <w:ilvl w:val="0"/>
          <w:numId w:val="2"/>
        </w:numPr>
        <w:spacing w:after="80"/>
      </w:pPr>
      <w:r>
        <w:rPr>
          <w:rFonts w:ascii="Calibri" w:cs="Calibri" w:eastAsia="Calibri" w:hAnsi="Calibri"/>
          <w:color w:val="111928"/>
          <w:sz w:val="22"/>
          <w:szCs w:val="22"/>
        </w:rPr>
        <w:t xml:space="preserve">SHAP beeswarm summary plot: features ranked by mean |SHAP|; dot colour = feature value (red = high, blue = low)</w:t>
      </w:r>
    </w:p>
    <w:p>
      <w:pPr>
        <w:pStyle w:val="ListParagraph"/>
        <w:numPr>
          <w:ilvl w:val="0"/>
          <w:numId w:val="2"/>
        </w:numPr>
        <w:spacing w:after="80"/>
      </w:pPr>
      <w:r>
        <w:rPr>
          <w:rFonts w:ascii="Calibri" w:cs="Calibri" w:eastAsia="Calibri" w:hAnsi="Calibri"/>
          <w:color w:val="111928"/>
          <w:sz w:val="22"/>
          <w:szCs w:val="22"/>
        </w:rPr>
        <w:t xml:space="preserve">SHAP bar chart: mean absolute SHAP values with feature names — top 15 features displayed</w:t>
      </w:r>
    </w:p>
    <w:p>
      <w:pPr>
        <w:pStyle w:val="ListParagraph"/>
        <w:numPr>
          <w:ilvl w:val="0"/>
          <w:numId w:val="2"/>
        </w:numPr>
        <w:spacing w:after="80"/>
      </w:pPr>
      <w:r>
        <w:rPr>
          <w:rFonts w:ascii="Calibri" w:cs="Calibri" w:eastAsia="Calibri" w:hAnsi="Calibri"/>
          <w:color w:val="111928"/>
          <w:sz w:val="22"/>
          <w:szCs w:val="22"/>
        </w:rPr>
        <w:t xml:space="preserve">SHAP dependence plots: select any feature to view SHAP value × feature value scatter with automatic interaction colouring</w:t>
      </w:r>
    </w:p>
    <w:p>
      <w:pPr>
        <w:pStyle w:val="ListParagraph"/>
        <w:numPr>
          <w:ilvl w:val="0"/>
          <w:numId w:val="2"/>
        </w:numPr>
        <w:spacing w:after="80"/>
      </w:pPr>
      <w:r>
        <w:rPr>
          <w:rFonts w:ascii="Calibri" w:cs="Calibri" w:eastAsia="Calibri" w:hAnsi="Calibri"/>
          <w:color w:val="111928"/>
          <w:sz w:val="22"/>
          <w:szCs w:val="22"/>
        </w:rPr>
        <w:t xml:space="preserve">SHAP waterfall plot (local mode): single-prediction breakdown from base value to final prediction</w:t>
      </w:r>
    </w:p>
    <w:p>
      <w:pPr>
        <w:pStyle w:val="ListParagraph"/>
        <w:numPr>
          <w:ilvl w:val="0"/>
          <w:numId w:val="2"/>
        </w:numPr>
        <w:spacing w:after="80"/>
      </w:pPr>
      <w:r>
        <w:rPr>
          <w:rFonts w:ascii="Calibri" w:cs="Calibri" w:eastAsia="Calibri" w:hAnsi="Calibri"/>
          <w:color w:val="111928"/>
          <w:sz w:val="22"/>
          <w:szCs w:val="22"/>
        </w:rPr>
        <w:t xml:space="preserve">LIME local explanation panel: horizontal bar chart of LIME coefficients for the selected instance</w:t>
      </w:r>
    </w:p>
    <w:p>
      <w:pPr>
        <w:pStyle w:val="ListParagraph"/>
        <w:numPr>
          <w:ilvl w:val="0"/>
          <w:numId w:val="2"/>
        </w:numPr>
        <w:spacing w:after="80"/>
      </w:pPr>
      <w:r>
        <w:rPr>
          <w:rFonts w:ascii="Calibri" w:cs="Calibri" w:eastAsia="Calibri" w:hAnsi="Calibri"/>
          <w:color w:val="111928"/>
          <w:sz w:val="22"/>
          <w:szCs w:val="22"/>
        </w:rPr>
        <w:t xml:space="preserve">SHAP vs LIME feature rank comparison table: numerical comparison of top-10 feature rankings from both methods</w:t>
      </w:r>
    </w:p>
    <w:p>
      <w:pPr>
        <w:pStyle w:val="ListParagraph"/>
        <w:numPr>
          <w:ilvl w:val="0"/>
          <w:numId w:val="2"/>
        </w:numPr>
        <w:spacing w:after="80"/>
      </w:pPr>
      <w:r>
        <w:rPr>
          <w:rFonts w:ascii="Calibri" w:cs="Calibri" w:eastAsia="Calibri" w:hAnsi="Calibri"/>
          <w:color w:val="111928"/>
          <w:sz w:val="22"/>
          <w:szCs w:val="22"/>
        </w:rPr>
        <w:t xml:space="preserve">Claude API narrative card: accordion-expanded pane containing the LLM-generated policy-accessible explanation with source attribution</w:t>
      </w:r>
    </w:p>
    <w:p>
      <w:pPr>
        <w:spacing w:after="120"/>
      </w:pPr>
    </w:p>
    <w:p>
      <w:pPr>
        <w:pStyle w:val="Heading3"/>
        <w:spacing w:before="200" w:after="80"/>
      </w:pPr>
      <w:r>
        <w:rPr>
          <w:rFonts w:ascii="Calibri" w:cs="Calibri" w:eastAsia="Calibri" w:hAnsi="Calibri"/>
          <w:b/>
          <w:bCs/>
          <w:color w:val="0E9F6E"/>
          <w:sz w:val="24"/>
          <w:szCs w:val="24"/>
        </w:rPr>
        <w:t xml:space="preserve">User Interactions</w:t>
      </w:r>
    </w:p>
    <w:p>
      <w:pPr>
        <w:pStyle w:val="ListParagraph"/>
        <w:numPr>
          <w:ilvl w:val="0"/>
          <w:numId w:val="3"/>
        </w:numPr>
        <w:spacing w:after="80"/>
      </w:pPr>
      <w:r>
        <w:rPr>
          <w:rFonts w:ascii="Calibri" w:cs="Calibri" w:eastAsia="Calibri" w:hAnsi="Calibri"/>
          <w:color w:val="111928"/>
          <w:sz w:val="22"/>
          <w:szCs w:val="22"/>
        </w:rPr>
        <w:t xml:space="preserve">Toggle "Global / Local" → panel switches between summary plots and single-instance waterfall/LIME</w:t>
      </w:r>
    </w:p>
    <w:p>
      <w:pPr>
        <w:pStyle w:val="ListParagraph"/>
        <w:numPr>
          <w:ilvl w:val="0"/>
          <w:numId w:val="3"/>
        </w:numPr>
        <w:spacing w:after="80"/>
      </w:pPr>
      <w:r>
        <w:rPr>
          <w:rFonts w:ascii="Calibri" w:cs="Calibri" w:eastAsia="Calibri" w:hAnsi="Calibri"/>
          <w:color w:val="111928"/>
          <w:sz w:val="22"/>
          <w:szCs w:val="22"/>
        </w:rPr>
        <w:t xml:space="preserve">In local mode: select a country and year → SHAP waterfall and LIME bar chart update for that specific prediction</w:t>
      </w:r>
    </w:p>
    <w:p>
      <w:pPr>
        <w:pStyle w:val="ListParagraph"/>
        <w:numPr>
          <w:ilvl w:val="0"/>
          <w:numId w:val="3"/>
        </w:numPr>
        <w:spacing w:after="80"/>
      </w:pPr>
      <w:r>
        <w:rPr>
          <w:rFonts w:ascii="Calibri" w:cs="Calibri" w:eastAsia="Calibri" w:hAnsi="Calibri"/>
          <w:color w:val="111928"/>
          <w:sz w:val="22"/>
          <w:szCs w:val="22"/>
        </w:rPr>
        <w:t xml:space="preserve">Click any feature name in SHAP bar chart → open dependence plot modal for that feature</w:t>
      </w:r>
    </w:p>
    <w:p>
      <w:pPr>
        <w:pStyle w:val="ListParagraph"/>
        <w:numPr>
          <w:ilvl w:val="0"/>
          <w:numId w:val="3"/>
        </w:numPr>
        <w:spacing w:after="80"/>
      </w:pPr>
      <w:r>
        <w:rPr>
          <w:rFonts w:ascii="Calibri" w:cs="Calibri" w:eastAsia="Calibri" w:hAnsi="Calibri"/>
          <w:color w:val="111928"/>
          <w:sz w:val="22"/>
          <w:szCs w:val="22"/>
        </w:rPr>
        <w:t xml:space="preserve">Click "Regenerate Narrative" → sends current top-3 SHAP features and model metrics to Claude API; returned narrative replaces previous card content</w:t>
      </w:r>
    </w:p>
    <w:p>
      <w:pPr>
        <w:pStyle w:val="ListParagraph"/>
        <w:numPr>
          <w:ilvl w:val="0"/>
          <w:numId w:val="3"/>
        </w:numPr>
        <w:spacing w:after="80"/>
      </w:pPr>
      <w:r>
        <w:rPr>
          <w:rFonts w:ascii="Calibri" w:cs="Calibri" w:eastAsia="Calibri" w:hAnsi="Calibri"/>
          <w:color w:val="111928"/>
          <w:sz w:val="22"/>
          <w:szCs w:val="22"/>
        </w:rPr>
        <w:t xml:space="preserve">Export SHAP values → JSON or CSV download of the full shap_values matrix for the test set</w:t>
      </w:r>
    </w:p>
    <w:p>
      <w:pPr>
        <w:spacing w:after="120"/>
      </w:pPr>
    </w:p>
    <w:p>
      <w:pPr>
        <w:pStyle w:val="Heading3"/>
        <w:spacing w:before="200" w:after="80"/>
      </w:pPr>
      <w:r>
        <w:rPr>
          <w:rFonts w:ascii="Calibri" w:cs="Calibri" w:eastAsia="Calibri" w:hAnsi="Calibri"/>
          <w:b/>
          <w:bCs/>
          <w:color w:val="0E9F6E"/>
          <w:sz w:val="24"/>
          <w:szCs w:val="24"/>
        </w:rPr>
        <w:t xml:space="preserve">Expected Behaviour</w:t>
      </w:r>
    </w:p>
    <w:p>
      <w:pPr>
        <w:spacing w:after="140"/>
        <w:jc w:val="both"/>
      </w:pPr>
      <w:r>
        <w:rPr>
          <w:rFonts w:ascii="Calibri" w:cs="Calibri" w:eastAsia="Calibri" w:hAnsi="Calibri"/>
          <w:b w:val="false"/>
          <w:bCs w:val="false"/>
          <w:i w:val="false"/>
          <w:iCs w:val="false"/>
          <w:color w:val="111928"/>
          <w:sz w:val="22"/>
          <w:szCs w:val="22"/>
        </w:rPr>
        <w:t xml:space="preserve">SHAP values are pre-computed and stored (shap_values.csv); loading is immediate. The Claude API call targets sub-10-second response time. A loading spinner with the message "Generating policy narrative..." is shown during the API call. If the API call fails (network error or rate limit), a user-friendly error card is displayed with a retry button. The SHAP vs LIME comparison table highlights cells where the two methods disagree by more than 3 rank positions, flagging potential collinearity issues (Salih et al., 2024).</w:t>
      </w:r>
    </w:p>
    <w:p>
      <w:pPr>
        <w:spacing w:after="120"/>
      </w:pPr>
    </w:p>
    <w:p>
      <w:pPr>
        <w:pStyle w:val="Heading3"/>
        <w:spacing w:before="200" w:after="80"/>
      </w:pPr>
      <w:r>
        <w:rPr>
          <w:rFonts w:ascii="Calibri" w:cs="Calibri" w:eastAsia="Calibri" w:hAnsi="Calibri"/>
          <w:b/>
          <w:bCs/>
          <w:color w:val="0E9F6E"/>
          <w:sz w:val="24"/>
          <w:szCs w:val="24"/>
        </w:rPr>
        <w:t xml:space="preserve">Wireframe — Tab 3: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2FB" w:val="clear"/>
            <w:tcMar>
              <w:top w:type="dxa" w:w="200"/>
              <w:left w:type="dxa" w:w="200"/>
              <w:bottom w:type="dxa" w:w="200"/>
              <w:right w:type="dxa" w:w="200"/>
            </w:tcMar>
            <w:vAlign w:val="center"/>
          </w:tcPr>
          <w:p>
            <w:pPr>
              <w:jc w:val="center"/>
            </w:pPr>
            <w:r>
              <w:rPr>
                <w:rFonts w:ascii="Calibri" w:cs="Calibri" w:eastAsia="Calibri" w:hAnsi="Calibri"/>
                <w:i/>
                <w:iCs/>
                <w:color w:val="6B7280"/>
                <w:sz w:val="22"/>
                <w:szCs w:val="22"/>
              </w:rPr>
              <w:t xml:space="preserve">[Insert Wireframe: Explainability Tab]
  [Global] [Local]  Model: [XGBoost ▾]
  ┌─────────────────────────────┐ ┌─────────────────────────────┐
  │ SHAP Beeswarm Summary       │ │ SHAP Bar Chart (top 15)     │
  │ [Dot plot: feature × SHAP]  │ │ [Horizontal bars]           │
  └─────────────────────────────┘ └─────────────────────────────┘
  ┌─────────────────────────────┐ ┌─────────────────────────────┐
  │ SHAP Dependence Plot        │ │ Claude API Narrative         │
  │ Feature: [dropdown ▾]       │ │ ┌───────────────────────┐   │
  │ [Scatter: feature vs SHAP]  │ │ │ Policy explanation text│   │
  └─────────────────────────────┘ └─────────────────────────────┘</w:t>
            </w:r>
          </w:p>
        </w:tc>
      </w:tr>
    </w:tbl>
    <w:p>
      <w:r>
        <w:br w:type="page"/>
      </w:r>
    </w:p>
    <w:p>
      <w:pPr>
        <w:pStyle w:val="Heading2"/>
        <w:spacing w:before="280" w:after="120"/>
      </w:pPr>
      <w:r>
        <w:rPr>
          <w:rFonts w:ascii="Calibri" w:cs="Calibri" w:eastAsia="Calibri" w:hAnsi="Calibri"/>
          <w:b/>
          <w:bCs/>
          <w:color w:val="111928"/>
          <w:sz w:val="28"/>
          <w:szCs w:val="28"/>
        </w:rPr>
        <w:t xml:space="preserve">3.4 Tab 4 — Policy Simulator</w:t>
      </w:r>
    </w:p>
    <w:p>
      <w:pPr>
        <w:pStyle w:val="Heading3"/>
        <w:spacing w:before="200" w:after="80"/>
      </w:pPr>
      <w:r>
        <w:rPr>
          <w:rFonts w:ascii="Calibri" w:cs="Calibri" w:eastAsia="Calibri" w:hAnsi="Calibri"/>
          <w:b/>
          <w:bCs/>
          <w:color w:val="0E9F6E"/>
          <w:sz w:val="24"/>
          <w:szCs w:val="24"/>
        </w:rPr>
        <w:t xml:space="preserve">Purpose</w:t>
      </w:r>
    </w:p>
    <w:p>
      <w:pPr>
        <w:spacing w:after="140"/>
        <w:jc w:val="both"/>
      </w:pPr>
      <w:r>
        <w:rPr>
          <w:rFonts w:ascii="Calibri" w:cs="Calibri" w:eastAsia="Calibri" w:hAnsi="Calibri"/>
          <w:b w:val="false"/>
          <w:bCs w:val="false"/>
          <w:i w:val="false"/>
          <w:iCs w:val="false"/>
          <w:color w:val="111928"/>
          <w:sz w:val="22"/>
          <w:szCs w:val="22"/>
        </w:rPr>
        <w:t xml:space="preserve">The Policy Simulator enables stakeholders to conduct "what-if" counterfactual analyses by adjusting policy parameters and observing projected changes in all three target variables. This implements the interactive scenario-simulation capability identified as a gap in Van der Voort et al. (2018) and Vannieuwenhuyse and Van Gasse (2020), and operationalises the Dolphin et al. (2024) meta-analytic framework for evaluating carbon pricing instruments.</w:t>
      </w:r>
    </w:p>
    <w:p>
      <w:pPr>
        <w:spacing w:after="120"/>
      </w:pPr>
    </w:p>
    <w:p>
      <w:pPr>
        <w:pStyle w:val="Heading3"/>
        <w:spacing w:before="200" w:after="80"/>
      </w:pPr>
      <w:r>
        <w:rPr>
          <w:rFonts w:ascii="Calibri" w:cs="Calibri" w:eastAsia="Calibri" w:hAnsi="Calibri"/>
          <w:b/>
          <w:bCs/>
          <w:color w:val="0E9F6E"/>
          <w:sz w:val="24"/>
          <w:szCs w:val="24"/>
        </w:rPr>
        <w:t xml:space="preserve">Key Visual Elements</w:t>
      </w:r>
    </w:p>
    <w:p>
      <w:pPr>
        <w:pStyle w:val="ListParagraph"/>
        <w:numPr>
          <w:ilvl w:val="0"/>
          <w:numId w:val="2"/>
        </w:numPr>
        <w:spacing w:after="80"/>
      </w:pPr>
      <w:r>
        <w:rPr>
          <w:rFonts w:ascii="Calibri" w:cs="Calibri" w:eastAsia="Calibri" w:hAnsi="Calibri"/>
          <w:color w:val="111928"/>
          <w:sz w:val="22"/>
          <w:szCs w:val="22"/>
        </w:rPr>
        <w:t xml:space="preserve">Scenario configuration panel (left sidebar):</w:t>
      </w:r>
    </w:p>
    <w:p>
      <w:pPr>
        <w:pStyle w:val="ListParagraph"/>
        <w:numPr>
          <w:ilvl w:val="1"/>
          <w:numId w:val="2"/>
        </w:numPr>
        <w:spacing w:after="80"/>
      </w:pPr>
      <w:r>
        <w:rPr>
          <w:rFonts w:ascii="Calibri" w:cs="Calibri" w:eastAsia="Calibri" w:hAnsi="Calibri"/>
          <w:color w:val="111928"/>
          <w:sz w:val="22"/>
          <w:szCs w:val="22"/>
        </w:rPr>
        <w:t xml:space="preserve">Carbon price slider: 0–200 EUR/tonne (current default = latest ETS price)</w:t>
      </w:r>
    </w:p>
    <w:p>
      <w:pPr>
        <w:pStyle w:val="ListParagraph"/>
        <w:numPr>
          <w:ilvl w:val="1"/>
          <w:numId w:val="2"/>
        </w:numPr>
        <w:spacing w:after="80"/>
      </w:pPr>
      <w:r>
        <w:rPr>
          <w:rFonts w:ascii="Calibri" w:cs="Calibri" w:eastAsia="Calibri" w:hAnsi="Calibri"/>
          <w:color w:val="111928"/>
          <w:sz w:val="22"/>
          <w:szCs w:val="22"/>
        </w:rPr>
        <w:t xml:space="preserve">ETS Phase selector: Phase I–IV</w:t>
      </w:r>
    </w:p>
    <w:p>
      <w:pPr>
        <w:pStyle w:val="ListParagraph"/>
        <w:numPr>
          <w:ilvl w:val="1"/>
          <w:numId w:val="2"/>
        </w:numPr>
        <w:spacing w:after="80"/>
      </w:pPr>
      <w:r>
        <w:rPr>
          <w:rFonts w:ascii="Calibri" w:cs="Calibri" w:eastAsia="Calibri" w:hAnsi="Calibri"/>
          <w:color w:val="111928"/>
          <w:sz w:val="22"/>
          <w:szCs w:val="22"/>
        </w:rPr>
        <w:t xml:space="preserve">Renewable energy share target (%): 0–100 slider</w:t>
      </w:r>
    </w:p>
    <w:p>
      <w:pPr>
        <w:pStyle w:val="ListParagraph"/>
        <w:numPr>
          <w:ilvl w:val="1"/>
          <w:numId w:val="2"/>
        </w:numPr>
        <w:spacing w:after="80"/>
      </w:pPr>
      <w:r>
        <w:rPr>
          <w:rFonts w:ascii="Calibri" w:cs="Calibri" w:eastAsia="Calibri" w:hAnsi="Calibri"/>
          <w:color w:val="111928"/>
          <w:sz w:val="22"/>
          <w:szCs w:val="22"/>
        </w:rPr>
        <w:t xml:space="preserve">Country / jurisdiction selector (multi-select)</w:t>
      </w:r>
    </w:p>
    <w:p>
      <w:pPr>
        <w:pStyle w:val="ListParagraph"/>
        <w:numPr>
          <w:ilvl w:val="1"/>
          <w:numId w:val="2"/>
        </w:numPr>
        <w:spacing w:after="80"/>
      </w:pPr>
      <w:r>
        <w:rPr>
          <w:rFonts w:ascii="Calibri" w:cs="Calibri" w:eastAsia="Calibri" w:hAnsi="Calibri"/>
          <w:color w:val="111928"/>
          <w:sz w:val="22"/>
          <w:szCs w:val="22"/>
        </w:rPr>
        <w:t xml:space="preserve">Projection horizon: 1–10 years ahead</w:t>
      </w:r>
    </w:p>
    <w:p>
      <w:pPr>
        <w:pStyle w:val="ListParagraph"/>
        <w:numPr>
          <w:ilvl w:val="1"/>
          <w:numId w:val="2"/>
        </w:numPr>
        <w:spacing w:after="80"/>
      </w:pPr>
      <w:r>
        <w:rPr>
          <w:rFonts w:ascii="Calibri" w:cs="Calibri" w:eastAsia="Calibri" w:hAnsi="Calibri"/>
          <w:color w:val="111928"/>
          <w:sz w:val="22"/>
          <w:szCs w:val="22"/>
        </w:rPr>
        <w:t xml:space="preserve">Economic growth assumption: GDP growth rate slider (–5% to +10%)</w:t>
      </w:r>
    </w:p>
    <w:p>
      <w:pPr>
        <w:pStyle w:val="ListParagraph"/>
        <w:numPr>
          <w:ilvl w:val="1"/>
          <w:numId w:val="2"/>
        </w:numPr>
        <w:spacing w:after="80"/>
      </w:pPr>
      <w:r>
        <w:rPr>
          <w:rFonts w:ascii="Calibri" w:cs="Calibri" w:eastAsia="Calibri" w:hAnsi="Calibri"/>
          <w:color w:val="111928"/>
          <w:sz w:val="22"/>
          <w:szCs w:val="22"/>
        </w:rPr>
        <w:t xml:space="preserve">Scenario naming: free-text field to label and save scenarios</w:t>
      </w:r>
    </w:p>
    <w:p>
      <w:pPr>
        <w:pStyle w:val="ListParagraph"/>
        <w:numPr>
          <w:ilvl w:val="0"/>
          <w:numId w:val="2"/>
        </w:numPr>
        <w:spacing w:after="80"/>
      </w:pPr>
      <w:r>
        <w:rPr>
          <w:rFonts w:ascii="Calibri" w:cs="Calibri" w:eastAsia="Calibri" w:hAnsi="Calibri"/>
          <w:color w:val="111928"/>
          <w:sz w:val="22"/>
          <w:szCs w:val="22"/>
        </w:rPr>
        <w:t xml:space="preserve">Results panel (right, 2/3 width):</w:t>
      </w:r>
    </w:p>
    <w:p>
      <w:pPr>
        <w:pStyle w:val="ListParagraph"/>
        <w:numPr>
          <w:ilvl w:val="1"/>
          <w:numId w:val="2"/>
        </w:numPr>
        <w:spacing w:after="80"/>
      </w:pPr>
      <w:r>
        <w:rPr>
          <w:rFonts w:ascii="Calibri" w:cs="Calibri" w:eastAsia="Calibri" w:hAnsi="Calibri"/>
          <w:color w:val="111928"/>
          <w:sz w:val="22"/>
          <w:szCs w:val="22"/>
        </w:rPr>
        <w:t xml:space="preserve">Three KPI delta cards: predicted change in ETS price, GHG reduction %, and policy effectiveness score vs baseline</w:t>
      </w:r>
    </w:p>
    <w:p>
      <w:pPr>
        <w:pStyle w:val="ListParagraph"/>
        <w:numPr>
          <w:ilvl w:val="1"/>
          <w:numId w:val="2"/>
        </w:numPr>
        <w:spacing w:after="80"/>
      </w:pPr>
      <w:r>
        <w:rPr>
          <w:rFonts w:ascii="Calibri" w:cs="Calibri" w:eastAsia="Calibri" w:hAnsi="Calibri"/>
          <w:color w:val="111928"/>
          <w:sz w:val="22"/>
          <w:szCs w:val="22"/>
        </w:rPr>
        <w:t xml:space="preserve">Side-by-side comparison chart: baseline scenario vs user-defined scenario, time-series lines</w:t>
      </w:r>
    </w:p>
    <w:p>
      <w:pPr>
        <w:pStyle w:val="ListParagraph"/>
        <w:numPr>
          <w:ilvl w:val="1"/>
          <w:numId w:val="2"/>
        </w:numPr>
        <w:spacing w:after="80"/>
      </w:pPr>
      <w:r>
        <w:rPr>
          <w:rFonts w:ascii="Calibri" w:cs="Calibri" w:eastAsia="Calibri" w:hAnsi="Calibri"/>
          <w:color w:val="111928"/>
          <w:sz w:val="22"/>
          <w:szCs w:val="22"/>
        </w:rPr>
        <w:t xml:space="preserve">Sensitivity tornado chart: which input parameter drives the most change in each target</w:t>
      </w:r>
    </w:p>
    <w:p>
      <w:pPr>
        <w:pStyle w:val="ListParagraph"/>
        <w:numPr>
          <w:ilvl w:val="1"/>
          <w:numId w:val="2"/>
        </w:numPr>
        <w:spacing w:after="80"/>
      </w:pPr>
      <w:r>
        <w:rPr>
          <w:rFonts w:ascii="Calibri" w:cs="Calibri" w:eastAsia="Calibri" w:hAnsi="Calibri"/>
          <w:color w:val="111928"/>
          <w:sz w:val="22"/>
          <w:szCs w:val="22"/>
        </w:rPr>
        <w:t xml:space="preserve">Saved scenarios comparison table: up to 5 named scenarios displayed as parallel columns</w:t>
      </w:r>
    </w:p>
    <w:p>
      <w:pPr>
        <w:spacing w:after="120"/>
      </w:pPr>
    </w:p>
    <w:p>
      <w:pPr>
        <w:pStyle w:val="Heading3"/>
        <w:spacing w:before="200" w:after="80"/>
      </w:pPr>
      <w:r>
        <w:rPr>
          <w:rFonts w:ascii="Calibri" w:cs="Calibri" w:eastAsia="Calibri" w:hAnsi="Calibri"/>
          <w:b/>
          <w:bCs/>
          <w:color w:val="0E9F6E"/>
          <w:sz w:val="24"/>
          <w:szCs w:val="24"/>
        </w:rPr>
        <w:t xml:space="preserve">User Interactions</w:t>
      </w:r>
    </w:p>
    <w:p>
      <w:pPr>
        <w:pStyle w:val="ListParagraph"/>
        <w:numPr>
          <w:ilvl w:val="0"/>
          <w:numId w:val="3"/>
        </w:numPr>
        <w:spacing w:after="80"/>
      </w:pPr>
      <w:r>
        <w:rPr>
          <w:rFonts w:ascii="Calibri" w:cs="Calibri" w:eastAsia="Calibri" w:hAnsi="Calibri"/>
          <w:color w:val="111928"/>
          <w:sz w:val="22"/>
          <w:szCs w:val="22"/>
        </w:rPr>
        <w:t xml:space="preserve">Adjust any slider or dropdown → results panel updates within 500ms using cached XGBoost inference</w:t>
      </w:r>
    </w:p>
    <w:p>
      <w:pPr>
        <w:pStyle w:val="ListParagraph"/>
        <w:numPr>
          <w:ilvl w:val="0"/>
          <w:numId w:val="3"/>
        </w:numPr>
        <w:spacing w:after="80"/>
      </w:pPr>
      <w:r>
        <w:rPr>
          <w:rFonts w:ascii="Calibri" w:cs="Calibri" w:eastAsia="Calibri" w:hAnsi="Calibri"/>
          <w:color w:val="111928"/>
          <w:sz w:val="22"/>
          <w:szCs w:val="22"/>
        </w:rPr>
        <w:t xml:space="preserve">Click "Save Scenario" → scenario appended to comparison table with user-supplied name</w:t>
      </w:r>
    </w:p>
    <w:p>
      <w:pPr>
        <w:pStyle w:val="ListParagraph"/>
        <w:numPr>
          <w:ilvl w:val="0"/>
          <w:numId w:val="3"/>
        </w:numPr>
        <w:spacing w:after="80"/>
      </w:pPr>
      <w:r>
        <w:rPr>
          <w:rFonts w:ascii="Calibri" w:cs="Calibri" w:eastAsia="Calibri" w:hAnsi="Calibri"/>
          <w:color w:val="111928"/>
          <w:sz w:val="22"/>
          <w:szCs w:val="22"/>
        </w:rPr>
        <w:t xml:space="preserve">Click "Compare Scenarios" → overlay all saved scenarios on the time-series chart</w:t>
      </w:r>
    </w:p>
    <w:p>
      <w:pPr>
        <w:pStyle w:val="ListParagraph"/>
        <w:numPr>
          <w:ilvl w:val="0"/>
          <w:numId w:val="3"/>
        </w:numPr>
        <w:spacing w:after="80"/>
      </w:pPr>
      <w:r>
        <w:rPr>
          <w:rFonts w:ascii="Calibri" w:cs="Calibri" w:eastAsia="Calibri" w:hAnsi="Calibri"/>
          <w:color w:val="111928"/>
          <w:sz w:val="22"/>
          <w:szCs w:val="22"/>
        </w:rPr>
        <w:t xml:space="preserve">Click "Export Report" → PDF download of scenario comparison with policy recommendations section</w:t>
      </w:r>
    </w:p>
    <w:p>
      <w:pPr>
        <w:pStyle w:val="ListParagraph"/>
        <w:numPr>
          <w:ilvl w:val="0"/>
          <w:numId w:val="3"/>
        </w:numPr>
        <w:spacing w:after="80"/>
      </w:pPr>
      <w:r>
        <w:rPr>
          <w:rFonts w:ascii="Calibri" w:cs="Calibri" w:eastAsia="Calibri" w:hAnsi="Calibri"/>
          <w:color w:val="111928"/>
          <w:sz w:val="22"/>
          <w:szCs w:val="22"/>
        </w:rPr>
        <w:t xml:space="preserve">Click "Reset to Baseline" → all parameters return to current real-world values</w:t>
      </w:r>
    </w:p>
    <w:p>
      <w:pPr>
        <w:pStyle w:val="ListParagraph"/>
        <w:numPr>
          <w:ilvl w:val="0"/>
          <w:numId w:val="3"/>
        </w:numPr>
        <w:spacing w:after="80"/>
      </w:pPr>
      <w:r>
        <w:rPr>
          <w:rFonts w:ascii="Calibri" w:cs="Calibri" w:eastAsia="Calibri" w:hAnsi="Calibri"/>
          <w:color w:val="111928"/>
          <w:sz w:val="22"/>
          <w:szCs w:val="22"/>
        </w:rPr>
        <w:t xml:space="preserve">Click any sensitivity bar in the tornado chart → tooltip explains the directional effect and cites the relevant feature SHAP attribution</w:t>
      </w:r>
    </w:p>
    <w:p>
      <w:pPr>
        <w:spacing w:after="120"/>
      </w:pPr>
    </w:p>
    <w:p>
      <w:pPr>
        <w:pStyle w:val="Heading3"/>
        <w:spacing w:before="200" w:after="80"/>
      </w:pPr>
      <w:r>
        <w:rPr>
          <w:rFonts w:ascii="Calibri" w:cs="Calibri" w:eastAsia="Calibri" w:hAnsi="Calibri"/>
          <w:b/>
          <w:bCs/>
          <w:color w:val="0E9F6E"/>
          <w:sz w:val="24"/>
          <w:szCs w:val="24"/>
        </w:rPr>
        <w:t xml:space="preserve">Scenario Simulation Workflow</w:t>
      </w:r>
    </w:p>
    <w:p>
      <w:pPr>
        <w:spacing w:after="140"/>
        <w:jc w:val="both"/>
      </w:pPr>
      <w:r>
        <w:rPr>
          <w:rFonts w:ascii="Calibri" w:cs="Calibri" w:eastAsia="Calibri" w:hAnsi="Calibri"/>
          <w:b w:val="false"/>
          <w:bCs w:val="false"/>
          <w:i w:val="false"/>
          <w:iCs w:val="false"/>
          <w:color w:val="111928"/>
          <w:sz w:val="22"/>
          <w:szCs w:val="22"/>
        </w:rPr>
        <w:t xml:space="preserve">The scenario simulation workflow proceeds in five steps. First, the user selects a baseline jurisdiction and reference year from the sidebar dropdowns. Second, the user adjusts policy levers using the sliders. Third, the system runs XGBoost inference using the modified feature vector and returns predictions with 95% confidence intervals derived from the ensemble quantile models. Fourth, results are compared against the unmodified baseline using delta cards and overlay charts. Fifth, the user saves the scenario and optionally generates a Claude API narrative explaining the projected policy outcomes, which populates the narrative card at the bottom of the simulator panel. Throughout this workflow, the uncertainty of projections is communicated clearly via shaded confidence bands — following the ethical design principle of "displaying prediction uncertainties through prediction intervals" stated in Section 3.7 of the dissertation.</w:t>
      </w:r>
    </w:p>
    <w:p>
      <w:pPr>
        <w:spacing w:after="120"/>
      </w:pPr>
    </w:p>
    <w:p>
      <w:pPr>
        <w:pStyle w:val="Heading3"/>
        <w:spacing w:before="200" w:after="80"/>
      </w:pPr>
      <w:r>
        <w:rPr>
          <w:rFonts w:ascii="Calibri" w:cs="Calibri" w:eastAsia="Calibri" w:hAnsi="Calibri"/>
          <w:b/>
          <w:bCs/>
          <w:color w:val="0E9F6E"/>
          <w:sz w:val="24"/>
          <w:szCs w:val="24"/>
        </w:rPr>
        <w:t xml:space="preserve">Wireframe — Tab 4: Policy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2FB" w:val="clear"/>
            <w:tcMar>
              <w:top w:type="dxa" w:w="200"/>
              <w:left w:type="dxa" w:w="200"/>
              <w:bottom w:type="dxa" w:w="200"/>
              <w:right w:type="dxa" w:w="200"/>
            </w:tcMar>
            <w:vAlign w:val="center"/>
          </w:tcPr>
          <w:p>
            <w:pPr>
              <w:jc w:val="center"/>
            </w:pPr>
            <w:r>
              <w:rPr>
                <w:rFonts w:ascii="Calibri" w:cs="Calibri" w:eastAsia="Calibri" w:hAnsi="Calibri"/>
                <w:i/>
                <w:iCs/>
                <w:color w:val="6B7280"/>
                <w:sz w:val="22"/>
                <w:szCs w:val="22"/>
              </w:rPr>
              <w:t xml:space="preserve">[Insert Wireframe: Policy Simulator]
  ┌─────────────────┐  ┌──────────────────────────────────────┐
  │ CONFIGURATION   │  │  KPI DELTA CARDS                     │
  │ Price: [═══●══] │  │ [ETS Price +12%] [GHG Red. +3.1%]   │
  │ Renewables:[══] │  │ [Policy Eff. +0.07]                  │
  │ Country: [▾]    │  ├──────────────────────────────────────┤
  │ Horizon: [▾]    │  │ Baseline vs Scenario Time Series      │
  │ GDP: [═══●═══]  │  │ [Line chart with CI ribbon]          │
  │ [Save Scenario] │  ├──────────────────────────────────────┤
  │ [Reset Baseline]│  │ Sensitivity Tornado Chart            │
  └─────────────────┘  └──────────────────────────────────────┘</w:t>
            </w:r>
          </w:p>
        </w:tc>
      </w:tr>
    </w:tbl>
    <w:p>
      <w:r>
        <w:br w:type="page"/>
      </w:r>
    </w:p>
    <w:p>
      <w:pPr>
        <w:pStyle w:val="Heading2"/>
        <w:spacing w:before="280" w:after="120"/>
      </w:pPr>
      <w:r>
        <w:rPr>
          <w:rFonts w:ascii="Calibri" w:cs="Calibri" w:eastAsia="Calibri" w:hAnsi="Calibri"/>
          <w:b/>
          <w:bCs/>
          <w:color w:val="111928"/>
          <w:sz w:val="28"/>
          <w:szCs w:val="28"/>
        </w:rPr>
        <w:t xml:space="preserve">3.5 Tab 5 — Model Metrics</w:t>
      </w:r>
    </w:p>
    <w:p>
      <w:pPr>
        <w:pStyle w:val="Heading3"/>
        <w:spacing w:before="200" w:after="80"/>
      </w:pPr>
      <w:r>
        <w:rPr>
          <w:rFonts w:ascii="Calibri" w:cs="Calibri" w:eastAsia="Calibri" w:hAnsi="Calibri"/>
          <w:b/>
          <w:bCs/>
          <w:color w:val="0E9F6E"/>
          <w:sz w:val="24"/>
          <w:szCs w:val="24"/>
        </w:rPr>
        <w:t xml:space="preserve">Purpose</w:t>
      </w:r>
    </w:p>
    <w:p>
      <w:pPr>
        <w:spacing w:after="140"/>
        <w:jc w:val="both"/>
      </w:pPr>
      <w:r>
        <w:rPr>
          <w:rFonts w:ascii="Calibri" w:cs="Calibri" w:eastAsia="Calibri" w:hAnsi="Calibri"/>
          <w:b w:val="false"/>
          <w:bCs w:val="false"/>
          <w:i w:val="false"/>
          <w:iCs w:val="false"/>
          <w:color w:val="111928"/>
          <w:sz w:val="22"/>
          <w:szCs w:val="22"/>
        </w:rPr>
        <w:t xml:space="preserve">The Model Metrics tab provides a full technical evaluation dashboard addressing research objective iv: evaluating system accuracy, transparency, bias, and usability. It maps directly to the evaluation framework in Section 3.6 of the dissertation, covering predictive performance metrics, explainability quality assessment, and bias diagnostics.</w:t>
      </w:r>
    </w:p>
    <w:p>
      <w:pPr>
        <w:spacing w:after="120"/>
      </w:pPr>
    </w:p>
    <w:p>
      <w:pPr>
        <w:pStyle w:val="Heading3"/>
        <w:spacing w:before="200" w:after="80"/>
      </w:pPr>
      <w:r>
        <w:rPr>
          <w:rFonts w:ascii="Calibri" w:cs="Calibri" w:eastAsia="Calibri" w:hAnsi="Calibri"/>
          <w:b/>
          <w:bCs/>
          <w:color w:val="0E9F6E"/>
          <w:sz w:val="24"/>
          <w:szCs w:val="24"/>
        </w:rPr>
        <w:t xml:space="preserve">Key Visual Elements</w:t>
      </w:r>
    </w:p>
    <w:p>
      <w:pPr>
        <w:pStyle w:val="ListParagraph"/>
        <w:numPr>
          <w:ilvl w:val="0"/>
          <w:numId w:val="2"/>
        </w:numPr>
        <w:spacing w:after="80"/>
      </w:pPr>
      <w:r>
        <w:rPr>
          <w:rFonts w:ascii="Calibri" w:cs="Calibri" w:eastAsia="Calibri" w:hAnsi="Calibri"/>
          <w:color w:val="111928"/>
          <w:sz w:val="22"/>
          <w:szCs w:val="22"/>
        </w:rPr>
        <w:t xml:space="preserve">Performance metrics table: MAE, RMSE, R² for each model × split (Train/Val/Test) × target variable — rendered as a coloured heatmap table (green = good, red = poor)</w:t>
      </w:r>
    </w:p>
    <w:p>
      <w:pPr>
        <w:pStyle w:val="ListParagraph"/>
        <w:numPr>
          <w:ilvl w:val="0"/>
          <w:numId w:val="2"/>
        </w:numPr>
        <w:spacing w:after="80"/>
      </w:pPr>
      <w:r>
        <w:rPr>
          <w:rFonts w:ascii="Calibri" w:cs="Calibri" w:eastAsia="Calibri" w:hAnsi="Calibri"/>
          <w:color w:val="111928"/>
          <w:sz w:val="22"/>
          <w:szCs w:val="22"/>
        </w:rPr>
        <w:t xml:space="preserve">Calibration curve: predicted vs observed decile averages for policy_effectiveness_score; perfect calibration reference diagonal</w:t>
      </w:r>
    </w:p>
    <w:p>
      <w:pPr>
        <w:pStyle w:val="ListParagraph"/>
        <w:numPr>
          <w:ilvl w:val="0"/>
          <w:numId w:val="2"/>
        </w:numPr>
        <w:spacing w:after="80"/>
      </w:pPr>
      <w:r>
        <w:rPr>
          <w:rFonts w:ascii="Calibri" w:cs="Calibri" w:eastAsia="Calibri" w:hAnsi="Calibri"/>
          <w:color w:val="111928"/>
          <w:sz w:val="22"/>
          <w:szCs w:val="22"/>
        </w:rPr>
        <w:t xml:space="preserve">Learning curves: training MAE and validation MAE vs number of training samples — diagnoses under/overfitting</w:t>
      </w:r>
    </w:p>
    <w:p>
      <w:pPr>
        <w:pStyle w:val="ListParagraph"/>
        <w:numPr>
          <w:ilvl w:val="0"/>
          <w:numId w:val="2"/>
        </w:numPr>
        <w:spacing w:after="80"/>
      </w:pPr>
      <w:r>
        <w:rPr>
          <w:rFonts w:ascii="Calibri" w:cs="Calibri" w:eastAsia="Calibri" w:hAnsi="Calibri"/>
          <w:color w:val="111928"/>
          <w:sz w:val="22"/>
          <w:szCs w:val="22"/>
        </w:rPr>
        <w:t xml:space="preserve">Cross-validation timeline chart: TimeSeriesSplit fold performance bars with mean ± std ribbon</w:t>
      </w:r>
    </w:p>
    <w:p>
      <w:pPr>
        <w:pStyle w:val="ListParagraph"/>
        <w:numPr>
          <w:ilvl w:val="0"/>
          <w:numId w:val="2"/>
        </w:numPr>
        <w:spacing w:after="80"/>
      </w:pPr>
      <w:r>
        <w:rPr>
          <w:rFonts w:ascii="Calibri" w:cs="Calibri" w:eastAsia="Calibri" w:hAnsi="Calibri"/>
          <w:color w:val="111928"/>
          <w:sz w:val="22"/>
          <w:szCs w:val="22"/>
        </w:rPr>
        <w:t xml:space="preserve">Feature importance comparison: SHAP (bar) vs XGBoost gain (bar) side-by-side for top-20 features</w:t>
      </w:r>
    </w:p>
    <w:p>
      <w:pPr>
        <w:pStyle w:val="ListParagraph"/>
        <w:numPr>
          <w:ilvl w:val="0"/>
          <w:numId w:val="2"/>
        </w:numPr>
        <w:spacing w:after="80"/>
      </w:pPr>
      <w:r>
        <w:rPr>
          <w:rFonts w:ascii="Calibri" w:cs="Calibri" w:eastAsia="Calibri" w:hAnsi="Calibri"/>
          <w:color w:val="111928"/>
          <w:sz w:val="22"/>
          <w:szCs w:val="22"/>
        </w:rPr>
        <w:t xml:space="preserve">Explanation stability heatmap: Pearson correlation of SHAP value vectors for 10 random pairs of similar inputs — values near 1 indicate stable explanations</w:t>
      </w:r>
    </w:p>
    <w:p>
      <w:pPr>
        <w:pStyle w:val="ListParagraph"/>
        <w:numPr>
          <w:ilvl w:val="0"/>
          <w:numId w:val="2"/>
        </w:numPr>
        <w:spacing w:after="80"/>
      </w:pPr>
      <w:r>
        <w:rPr>
          <w:rFonts w:ascii="Calibri" w:cs="Calibri" w:eastAsia="Calibri" w:hAnsi="Calibri"/>
          <w:color w:val="111928"/>
          <w:sz w:val="22"/>
          <w:szCs w:val="22"/>
        </w:rPr>
        <w:t xml:space="preserve">Bias diagnostics panel: model error broken down by region, income group, and ETS phase — surfaces systematic disparities per Section 3.7 ethical considerations</w:t>
      </w:r>
    </w:p>
    <w:p>
      <w:pPr>
        <w:spacing w:after="120"/>
      </w:pPr>
    </w:p>
    <w:p>
      <w:pPr>
        <w:pStyle w:val="Heading3"/>
        <w:spacing w:before="200" w:after="80"/>
      </w:pPr>
      <w:r>
        <w:rPr>
          <w:rFonts w:ascii="Calibri" w:cs="Calibri" w:eastAsia="Calibri" w:hAnsi="Calibri"/>
          <w:b/>
          <w:bCs/>
          <w:color w:val="0E9F6E"/>
          <w:sz w:val="24"/>
          <w:szCs w:val="24"/>
        </w:rPr>
        <w:t xml:space="preserve">User Interactions</w:t>
      </w:r>
    </w:p>
    <w:p>
      <w:pPr>
        <w:pStyle w:val="ListParagraph"/>
        <w:numPr>
          <w:ilvl w:val="0"/>
          <w:numId w:val="3"/>
        </w:numPr>
        <w:spacing w:after="80"/>
      </w:pPr>
      <w:r>
        <w:rPr>
          <w:rFonts w:ascii="Calibri" w:cs="Calibri" w:eastAsia="Calibri" w:hAnsi="Calibri"/>
          <w:color w:val="111928"/>
          <w:sz w:val="22"/>
          <w:szCs w:val="22"/>
        </w:rPr>
        <w:t xml:space="preserve">Select model from dropdown → all metric panels update</w:t>
      </w:r>
    </w:p>
    <w:p>
      <w:pPr>
        <w:pStyle w:val="ListParagraph"/>
        <w:numPr>
          <w:ilvl w:val="0"/>
          <w:numId w:val="3"/>
        </w:numPr>
        <w:spacing w:after="80"/>
      </w:pPr>
      <w:r>
        <w:rPr>
          <w:rFonts w:ascii="Calibri" w:cs="Calibri" w:eastAsia="Calibri" w:hAnsi="Calibri"/>
          <w:color w:val="111928"/>
          <w:sz w:val="22"/>
          <w:szCs w:val="22"/>
        </w:rPr>
        <w:t xml:space="preserve">Select target variable → metrics recalculate for that target</w:t>
      </w:r>
    </w:p>
    <w:p>
      <w:pPr>
        <w:pStyle w:val="ListParagraph"/>
        <w:numPr>
          <w:ilvl w:val="0"/>
          <w:numId w:val="3"/>
        </w:numPr>
        <w:spacing w:after="80"/>
      </w:pPr>
      <w:r>
        <w:rPr>
          <w:rFonts w:ascii="Calibri" w:cs="Calibri" w:eastAsia="Calibri" w:hAnsi="Calibri"/>
          <w:color w:val="111928"/>
          <w:sz w:val="22"/>
          <w:szCs w:val="22"/>
        </w:rPr>
        <w:t xml:space="preserve">Click any metric cell in performance table → drill-down modal showing prediction distribution for that split</w:t>
      </w:r>
    </w:p>
    <w:p>
      <w:pPr>
        <w:pStyle w:val="ListParagraph"/>
        <w:numPr>
          <w:ilvl w:val="0"/>
          <w:numId w:val="3"/>
        </w:numPr>
        <w:spacing w:after="80"/>
      </w:pPr>
      <w:r>
        <w:rPr>
          <w:rFonts w:ascii="Calibri" w:cs="Calibri" w:eastAsia="Calibri" w:hAnsi="Calibri"/>
          <w:color w:val="111928"/>
          <w:sz w:val="22"/>
          <w:szCs w:val="22"/>
        </w:rPr>
        <w:t xml:space="preserve">Click "Download Metrics" → CSV of all metric values for all models, targets, and splits</w:t>
      </w:r>
    </w:p>
    <w:p>
      <w:pPr>
        <w:spacing w:after="120"/>
      </w:pPr>
    </w:p>
    <w:p>
      <w:pPr>
        <w:pStyle w:val="Heading3"/>
        <w:spacing w:before="200" w:after="80"/>
      </w:pPr>
      <w:r>
        <w:rPr>
          <w:rFonts w:ascii="Calibri" w:cs="Calibri" w:eastAsia="Calibri" w:hAnsi="Calibri"/>
          <w:b/>
          <w:bCs/>
          <w:color w:val="0E9F6E"/>
          <w:sz w:val="24"/>
          <w:szCs w:val="24"/>
        </w:rPr>
        <w:t xml:space="preserve">Expected Behaviour</w:t>
      </w:r>
    </w:p>
    <w:p>
      <w:pPr>
        <w:spacing w:after="140"/>
        <w:jc w:val="both"/>
      </w:pPr>
      <w:r>
        <w:rPr>
          <w:rFonts w:ascii="Calibri" w:cs="Calibri" w:eastAsia="Calibri" w:hAnsi="Calibri"/>
          <w:b w:val="false"/>
          <w:bCs w:val="false"/>
          <w:i w:val="false"/>
          <w:iCs w:val="false"/>
          <w:color w:val="111928"/>
          <w:sz w:val="22"/>
          <w:szCs w:val="22"/>
        </w:rPr>
        <w:t xml:space="preserve">All metrics are pre-computed and stored in model_metrics.csv. The bias diagnostics panel computes error means per subgroup using the test set. Where a subgroup has fewer than 20 samples, the panel displays a "Insufficient data" notice rather than a potentially misleading estimate, consistent with the responsible AI principle of not conveying false confidence in results.</w:t>
      </w:r>
    </w:p>
    <w:p>
      <w:pPr>
        <w:spacing w:after="120"/>
      </w:pPr>
    </w:p>
    <w:p>
      <w:pPr>
        <w:pStyle w:val="Heading3"/>
        <w:spacing w:before="200" w:after="80"/>
      </w:pPr>
      <w:r>
        <w:rPr>
          <w:rFonts w:ascii="Calibri" w:cs="Calibri" w:eastAsia="Calibri" w:hAnsi="Calibri"/>
          <w:b/>
          <w:bCs/>
          <w:color w:val="0E9F6E"/>
          <w:sz w:val="24"/>
          <w:szCs w:val="24"/>
        </w:rPr>
        <w:t xml:space="preserve">Wireframe — Tab 5: Model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2FB" w:val="clear"/>
            <w:tcMar>
              <w:top w:type="dxa" w:w="200"/>
              <w:left w:type="dxa" w:w="200"/>
              <w:bottom w:type="dxa" w:w="200"/>
              <w:right w:type="dxa" w:w="200"/>
            </w:tcMar>
            <w:vAlign w:val="center"/>
          </w:tcPr>
          <w:p>
            <w:pPr>
              <w:jc w:val="center"/>
            </w:pPr>
            <w:r>
              <w:rPr>
                <w:rFonts w:ascii="Calibri" w:cs="Calibri" w:eastAsia="Calibri" w:hAnsi="Calibri"/>
                <w:i/>
                <w:iCs/>
                <w:color w:val="6B7280"/>
                <w:sz w:val="22"/>
                <w:szCs w:val="22"/>
              </w:rPr>
              <w:t xml:space="preserve">[Insert Wireframe: Model Metrics Tab]
  Model: [XGBoost ▾] Target: [All ▾]
  ┌──────────────────────────┐ ┌──────────────────────────┐
  │ Metrics Table (coloured) │ │ Calibration Curve        │
  │ Split | MAE | RMSE | R² │ │ [Predicted vs Observed]  │
  │ Train | ... | ...  | ...│ │                          │
  │ Val   | ... | ...  | ...│ │                          │
  │ Test  | ... | ...  | ...│ │                          │
  └──────────────────────────┘ └──────────────────────────┘
  ┌──────────────────────────┐ ┌──────────────────────────┐
  │ Bias Diagnostics         │ │ SHAP Stability Heatmap   │
  │ Error by Region/Income   │ │ [10×10 correlation grid] │
  └──────────────────────────┘ └──────────────────────────┘</w:t>
            </w:r>
          </w:p>
        </w:tc>
      </w:tr>
    </w:tbl>
    <w:p>
      <w:r>
        <w:br w:type="page"/>
      </w:r>
    </w:p>
    <w:p>
      <w:pPr>
        <w:pStyle w:val="Heading2"/>
        <w:spacing w:before="280" w:after="120"/>
      </w:pPr>
      <w:r>
        <w:rPr>
          <w:rFonts w:ascii="Calibri" w:cs="Calibri" w:eastAsia="Calibri" w:hAnsi="Calibri"/>
          <w:b/>
          <w:bCs/>
          <w:color w:val="111928"/>
          <w:sz w:val="28"/>
          <w:szCs w:val="28"/>
        </w:rPr>
        <w:t xml:space="preserve">3.6 Tab 6 — Data Explorer</w:t>
      </w:r>
    </w:p>
    <w:p>
      <w:pPr>
        <w:pStyle w:val="Heading3"/>
        <w:spacing w:before="200" w:after="80"/>
      </w:pPr>
      <w:r>
        <w:rPr>
          <w:rFonts w:ascii="Calibri" w:cs="Calibri" w:eastAsia="Calibri" w:hAnsi="Calibri"/>
          <w:b/>
          <w:bCs/>
          <w:color w:val="0E9F6E"/>
          <w:sz w:val="24"/>
          <w:szCs w:val="24"/>
        </w:rPr>
        <w:t xml:space="preserve">Purpose</w:t>
      </w:r>
    </w:p>
    <w:p>
      <w:pPr>
        <w:spacing w:after="140"/>
        <w:jc w:val="both"/>
      </w:pPr>
      <w:r>
        <w:rPr>
          <w:rFonts w:ascii="Calibri" w:cs="Calibri" w:eastAsia="Calibri" w:hAnsi="Calibri"/>
          <w:b w:val="false"/>
          <w:bCs w:val="false"/>
          <w:i w:val="false"/>
          <w:iCs w:val="false"/>
          <w:color w:val="111928"/>
          <w:sz w:val="22"/>
          <w:szCs w:val="22"/>
        </w:rPr>
        <w:t xml:space="preserve">The Data Explorer allows users to interactively browse, filter, and visualise the raw and engineered datasets, with full source attribution. It supports research objective i (reviewing datasets) and the transparency dimension of objective iv. In line with Matheus et al. (2020), it promotes accountability by making the underlying data visible and auditable.</w:t>
      </w:r>
    </w:p>
    <w:p>
      <w:pPr>
        <w:spacing w:after="120"/>
      </w:pPr>
    </w:p>
    <w:p>
      <w:pPr>
        <w:pStyle w:val="Heading3"/>
        <w:spacing w:before="200" w:after="80"/>
      </w:pPr>
      <w:r>
        <w:rPr>
          <w:rFonts w:ascii="Calibri" w:cs="Calibri" w:eastAsia="Calibri" w:hAnsi="Calibri"/>
          <w:b/>
          <w:bCs/>
          <w:color w:val="0E9F6E"/>
          <w:sz w:val="24"/>
          <w:szCs w:val="24"/>
        </w:rPr>
        <w:t xml:space="preserve">Key Visual Elements</w:t>
      </w:r>
    </w:p>
    <w:p>
      <w:pPr>
        <w:pStyle w:val="ListParagraph"/>
        <w:numPr>
          <w:ilvl w:val="0"/>
          <w:numId w:val="2"/>
        </w:numPr>
        <w:spacing w:after="80"/>
      </w:pPr>
      <w:r>
        <w:rPr>
          <w:rFonts w:ascii="Calibri" w:cs="Calibri" w:eastAsia="Calibri" w:hAnsi="Calibri"/>
          <w:color w:val="111928"/>
          <w:sz w:val="22"/>
          <w:szCs w:val="22"/>
        </w:rPr>
        <w:t xml:space="preserve">Dataset selector: IEA GHG Highlights, IEA Energy Balances, EU ETS DataViewer, World Bank Climate, UK DESNZ, Master Dataset (engineered)</w:t>
      </w:r>
    </w:p>
    <w:p>
      <w:pPr>
        <w:pStyle w:val="ListParagraph"/>
        <w:numPr>
          <w:ilvl w:val="0"/>
          <w:numId w:val="2"/>
        </w:numPr>
        <w:spacing w:after="80"/>
      </w:pPr>
      <w:r>
        <w:rPr>
          <w:rFonts w:ascii="Calibri" w:cs="Calibri" w:eastAsia="Calibri" w:hAnsi="Calibri"/>
          <w:color w:val="111928"/>
          <w:sz w:val="22"/>
          <w:szCs w:val="22"/>
        </w:rPr>
        <w:t xml:space="preserve">Interactive sortable/filterable data table with 50-row pagination; columns can be shown/hidden</w:t>
      </w:r>
    </w:p>
    <w:p>
      <w:pPr>
        <w:pStyle w:val="ListParagraph"/>
        <w:numPr>
          <w:ilvl w:val="0"/>
          <w:numId w:val="2"/>
        </w:numPr>
        <w:spacing w:after="80"/>
      </w:pPr>
      <w:r>
        <w:rPr>
          <w:rFonts w:ascii="Calibri" w:cs="Calibri" w:eastAsia="Calibri" w:hAnsi="Calibri"/>
          <w:color w:val="111928"/>
          <w:sz w:val="22"/>
          <w:szCs w:val="22"/>
        </w:rPr>
        <w:t xml:space="preserve">Column statistics panel: for any selected column — distribution histogram, min/max/mean/median/std, % missing</w:t>
      </w:r>
    </w:p>
    <w:p>
      <w:pPr>
        <w:pStyle w:val="ListParagraph"/>
        <w:numPr>
          <w:ilvl w:val="0"/>
          <w:numId w:val="2"/>
        </w:numPr>
        <w:spacing w:after="80"/>
      </w:pPr>
      <w:r>
        <w:rPr>
          <w:rFonts w:ascii="Calibri" w:cs="Calibri" w:eastAsia="Calibri" w:hAnsi="Calibri"/>
          <w:color w:val="111928"/>
          <w:sz w:val="22"/>
          <w:szCs w:val="22"/>
        </w:rPr>
        <w:t xml:space="preserve">Time-series plot builder: select x-axis (year), y-axis (any numeric column), group-by (country/region) — Plotly interactive chart</w:t>
      </w:r>
    </w:p>
    <w:p>
      <w:pPr>
        <w:pStyle w:val="ListParagraph"/>
        <w:numPr>
          <w:ilvl w:val="0"/>
          <w:numId w:val="2"/>
        </w:numPr>
        <w:spacing w:after="80"/>
      </w:pPr>
      <w:r>
        <w:rPr>
          <w:rFonts w:ascii="Calibri" w:cs="Calibri" w:eastAsia="Calibri" w:hAnsi="Calibri"/>
          <w:color w:val="111928"/>
          <w:sz w:val="22"/>
          <w:szCs w:val="22"/>
        </w:rPr>
        <w:t xml:space="preserve">Data quality report panel: replicates the Cell 12 notebook output — missing % bar chart and completeness-by-year chart</w:t>
      </w:r>
    </w:p>
    <w:p>
      <w:pPr>
        <w:pStyle w:val="ListParagraph"/>
        <w:numPr>
          <w:ilvl w:val="0"/>
          <w:numId w:val="2"/>
        </w:numPr>
        <w:spacing w:after="80"/>
      </w:pPr>
      <w:r>
        <w:rPr>
          <w:rFonts w:ascii="Calibri" w:cs="Calibri" w:eastAsia="Calibri" w:hAnsi="Calibri"/>
          <w:color w:val="111928"/>
          <w:sz w:val="22"/>
          <w:szCs w:val="22"/>
        </w:rPr>
        <w:t xml:space="preserve">Source attribution footer: every dataset card links to the original data source URL (IEA, EEA, World Bank, DESNZ)</w:t>
      </w:r>
    </w:p>
    <w:p>
      <w:pPr>
        <w:spacing w:after="120"/>
      </w:pPr>
    </w:p>
    <w:p>
      <w:pPr>
        <w:pStyle w:val="Heading3"/>
        <w:spacing w:before="200" w:after="80"/>
      </w:pPr>
      <w:r>
        <w:rPr>
          <w:rFonts w:ascii="Calibri" w:cs="Calibri" w:eastAsia="Calibri" w:hAnsi="Calibri"/>
          <w:b/>
          <w:bCs/>
          <w:color w:val="0E9F6E"/>
          <w:sz w:val="24"/>
          <w:szCs w:val="24"/>
        </w:rPr>
        <w:t xml:space="preserve">User Interactions</w:t>
      </w:r>
    </w:p>
    <w:p>
      <w:pPr>
        <w:pStyle w:val="ListParagraph"/>
        <w:numPr>
          <w:ilvl w:val="0"/>
          <w:numId w:val="3"/>
        </w:numPr>
        <w:spacing w:after="80"/>
      </w:pPr>
      <w:r>
        <w:rPr>
          <w:rFonts w:ascii="Calibri" w:cs="Calibri" w:eastAsia="Calibri" w:hAnsi="Calibri"/>
          <w:color w:val="111928"/>
          <w:sz w:val="22"/>
          <w:szCs w:val="22"/>
        </w:rPr>
        <w:t xml:space="preserve">Select dataset from dropdown → data table and column stats update</w:t>
      </w:r>
    </w:p>
    <w:p>
      <w:pPr>
        <w:pStyle w:val="ListParagraph"/>
        <w:numPr>
          <w:ilvl w:val="0"/>
          <w:numId w:val="3"/>
        </w:numPr>
        <w:spacing w:after="80"/>
      </w:pPr>
      <w:r>
        <w:rPr>
          <w:rFonts w:ascii="Calibri" w:cs="Calibri" w:eastAsia="Calibri" w:hAnsi="Calibri"/>
          <w:color w:val="111928"/>
          <w:sz w:val="22"/>
          <w:szCs w:val="22"/>
        </w:rPr>
        <w:t xml:space="preserve">Click column header → sort ascending/descending</w:t>
      </w:r>
    </w:p>
    <w:p>
      <w:pPr>
        <w:pStyle w:val="ListParagraph"/>
        <w:numPr>
          <w:ilvl w:val="0"/>
          <w:numId w:val="3"/>
        </w:numPr>
        <w:spacing w:after="80"/>
      </w:pPr>
      <w:r>
        <w:rPr>
          <w:rFonts w:ascii="Calibri" w:cs="Calibri" w:eastAsia="Calibri" w:hAnsi="Calibri"/>
          <w:color w:val="111928"/>
          <w:sz w:val="22"/>
          <w:szCs w:val="22"/>
        </w:rPr>
        <w:t xml:space="preserve">Type in filter box → real-time row filtering on all visible columns</w:t>
      </w:r>
    </w:p>
    <w:p>
      <w:pPr>
        <w:pStyle w:val="ListParagraph"/>
        <w:numPr>
          <w:ilvl w:val="0"/>
          <w:numId w:val="3"/>
        </w:numPr>
        <w:spacing w:after="80"/>
      </w:pPr>
      <w:r>
        <w:rPr>
          <w:rFonts w:ascii="Calibri" w:cs="Calibri" w:eastAsia="Calibri" w:hAnsi="Calibri"/>
          <w:color w:val="111928"/>
          <w:sz w:val="22"/>
          <w:szCs w:val="22"/>
        </w:rPr>
        <w:t xml:space="preserve">Select x/y columns from dropdowns → chart renders or updates</w:t>
      </w:r>
    </w:p>
    <w:p>
      <w:pPr>
        <w:pStyle w:val="ListParagraph"/>
        <w:numPr>
          <w:ilvl w:val="0"/>
          <w:numId w:val="3"/>
        </w:numPr>
        <w:spacing w:after="80"/>
      </w:pPr>
      <w:r>
        <w:rPr>
          <w:rFonts w:ascii="Calibri" w:cs="Calibri" w:eastAsia="Calibri" w:hAnsi="Calibri"/>
          <w:color w:val="111928"/>
          <w:sz w:val="22"/>
          <w:szCs w:val="22"/>
        </w:rPr>
        <w:t xml:space="preserve">Click "Download Data" → filtered CSV download of currently displayed table</w:t>
      </w:r>
    </w:p>
    <w:p>
      <w:pPr>
        <w:spacing w:after="120"/>
      </w:pPr>
    </w:p>
    <w:p>
      <w:pPr>
        <w:pStyle w:val="Heading3"/>
        <w:spacing w:before="200" w:after="80"/>
      </w:pPr>
      <w:r>
        <w:rPr>
          <w:rFonts w:ascii="Calibri" w:cs="Calibri" w:eastAsia="Calibri" w:hAnsi="Calibri"/>
          <w:b/>
          <w:bCs/>
          <w:color w:val="0E9F6E"/>
          <w:sz w:val="24"/>
          <w:szCs w:val="24"/>
        </w:rPr>
        <w:t xml:space="preserve">Wireframe — Tab 6: Data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2FB" w:val="clear"/>
            <w:tcMar>
              <w:top w:type="dxa" w:w="200"/>
              <w:left w:type="dxa" w:w="200"/>
              <w:bottom w:type="dxa" w:w="200"/>
              <w:right w:type="dxa" w:w="200"/>
            </w:tcMar>
            <w:vAlign w:val="center"/>
          </w:tcPr>
          <w:p>
            <w:pPr>
              <w:jc w:val="center"/>
            </w:pPr>
            <w:r>
              <w:rPr>
                <w:rFonts w:ascii="Calibri" w:cs="Calibri" w:eastAsia="Calibri" w:hAnsi="Calibri"/>
                <w:i/>
                <w:iCs/>
                <w:color w:val="6B7280"/>
                <w:sz w:val="22"/>
                <w:szCs w:val="22"/>
              </w:rPr>
              <w:t xml:space="preserve">[Insert Wireframe: Data Explorer Tab]
  Dataset: [IEA GHG Highlights ▾]
  ┌──────────────────────────────────────────────────────────┐
  │ Data Table (sortable, filterable, paginated 50 rows)     │
  │ Country  | Year | GHG Energy | CO2/GDP | CO2/Capita | ..│
  │ World    | 2023 | 38,987     | 0.357   | 4.304      | ..│
  │ EU-27    | 2023 |  2,940     | 0.180   | 6.580      | ..│
  └──────────────────────────────────────────────────────────┘
  ┌──────────────────────────┐ ┌──────────────────────────┐
  │ Column Stats: GHG Energy │ │ Custom Time-Series Plot  │
  │ Distribution histogram   │ │ X: Year Y: [▾] Group: [▾]│
  │ Min/Max/Mean/Std/Missing │ │ [Plotly chart]           │
  └──────────────────────────┘ └──────────────────────────┘</w:t>
            </w:r>
          </w:p>
        </w:tc>
      </w:tr>
    </w:tbl>
    <w:p>
      <w:r>
        <w:br w:type="page"/>
      </w:r>
    </w:p>
    <w:p>
      <w:pPr>
        <w:pStyle w:val="Heading1"/>
        <w:spacing w:before="360" w:after="160"/>
      </w:pPr>
      <w:r>
        <w:rPr>
          <w:rFonts w:ascii="Calibri" w:cs="Calibri" w:eastAsia="Calibri" w:hAnsi="Calibri"/>
          <w:b/>
          <w:bCs/>
          <w:color w:val="1A56DB"/>
          <w:sz w:val="36"/>
          <w:szCs w:val="36"/>
        </w:rPr>
        <w:t xml:space="preserve">4. Visual Layout, Colour Scheme &amp; Design System</w:t>
      </w:r>
    </w:p>
    <w:p>
      <w:pPr>
        <w:spacing w:after="120"/>
      </w:pPr>
    </w:p>
    <w:p>
      <w:pPr>
        <w:pStyle w:val="Heading2"/>
        <w:spacing w:before="280" w:after="120"/>
      </w:pPr>
      <w:r>
        <w:rPr>
          <w:rFonts w:ascii="Calibri" w:cs="Calibri" w:eastAsia="Calibri" w:hAnsi="Calibri"/>
          <w:b/>
          <w:bCs/>
          <w:color w:val="111928"/>
          <w:sz w:val="28"/>
          <w:szCs w:val="28"/>
        </w:rPr>
        <w:t xml:space="preserve">4.1 Global Layout Structure</w:t>
      </w:r>
    </w:p>
    <w:p>
      <w:pPr>
        <w:spacing w:after="140"/>
        <w:jc w:val="both"/>
      </w:pPr>
      <w:r>
        <w:rPr>
          <w:rFonts w:ascii="Calibri" w:cs="Calibri" w:eastAsia="Calibri" w:hAnsi="Calibri"/>
          <w:b w:val="false"/>
          <w:bCs w:val="false"/>
          <w:i w:val="false"/>
          <w:iCs w:val="false"/>
          <w:color w:val="111928"/>
          <w:sz w:val="22"/>
          <w:szCs w:val="22"/>
        </w:rPr>
        <w:t xml:space="preserve">The application uses a fixed top navigation bar with the six tab labels and a persistent left sidebar (width 260px, collapsible) for global filters (country, year range, model selection). The main content area (fluid width, max 1400px, centred) houses tab-specific panels arranged in responsive grid cards.</w:t>
      </w:r>
    </w:p>
    <w:p>
      <w:pPr>
        <w:spacing w:after="120"/>
      </w:pPr>
    </w:p>
    <w:p>
      <w:pPr>
        <w:pStyle w:val="Heading2"/>
        <w:spacing w:before="280" w:after="120"/>
      </w:pPr>
      <w:r>
        <w:rPr>
          <w:rFonts w:ascii="Calibri" w:cs="Calibri" w:eastAsia="Calibri" w:hAnsi="Calibri"/>
          <w:b/>
          <w:bCs/>
          <w:color w:val="111928"/>
          <w:sz w:val="28"/>
          <w:szCs w:val="28"/>
        </w:rPr>
        <w:t xml:space="preserve">4.2 Colour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312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Calibri" w:cs="Calibri" w:eastAsia="Calibri" w:hAnsi="Calibri"/>
                <w:b/>
                <w:bCs/>
                <w:color w:val="111928"/>
                <w:sz w:val="20"/>
                <w:szCs w:val="20"/>
              </w:rPr>
              <w:t xml:space="preserve">Token</w:t>
            </w:r>
          </w:p>
        </w:tc>
        <w:tc>
          <w:tcPr>
            <w:tcW w:type="dxa" w:w="312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Calibri" w:cs="Calibri" w:eastAsia="Calibri" w:hAnsi="Calibri"/>
                <w:b/>
                <w:bCs/>
                <w:color w:val="111928"/>
                <w:sz w:val="20"/>
                <w:szCs w:val="20"/>
              </w:rPr>
              <w:t xml:space="preserve">Hex Value</w:t>
            </w:r>
          </w:p>
        </w:tc>
        <w:tc>
          <w:tcPr>
            <w:tcW w:type="dxa" w:w="312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Calibri" w:cs="Calibri" w:eastAsia="Calibri" w:hAnsi="Calibri"/>
                <w:b/>
                <w:bCs/>
                <w:color w:val="111928"/>
                <w:sz w:val="20"/>
                <w:szCs w:val="20"/>
              </w:rPr>
              <w:t xml:space="preserve">Usage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accent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#1A56DB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Primary buttons, tab active state, Heading 1, chart series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accent2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#0E9F6E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Success states, Heading 3, chart series 2, positive KPI deltas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danger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#E02424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Alert states, negative KPI deltas, high-residual data 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warn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#FF8A4C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Warning indicators, ETS launch marker, chart series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#111928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Body text, table content, chart axis labels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muted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#6B7280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Secondary labels, captions, subtitles, source attributions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bg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#F4F6F9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Page background, card borders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#FFFFFF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Card backgrounds, modal backgrounds, table cell fills</w:t>
            </w:r>
          </w:p>
        </w:tc>
      </w:tr>
    </w:tbl>
    <w:p>
      <w:pPr>
        <w:spacing w:after="120"/>
      </w:pPr>
    </w:p>
    <w:p>
      <w:pPr>
        <w:pStyle w:val="Heading2"/>
        <w:spacing w:before="280" w:after="120"/>
      </w:pPr>
      <w:r>
        <w:rPr>
          <w:rFonts w:ascii="Calibri" w:cs="Calibri" w:eastAsia="Calibri" w:hAnsi="Calibri"/>
          <w:b/>
          <w:bCs/>
          <w:color w:val="111928"/>
          <w:sz w:val="28"/>
          <w:szCs w:val="28"/>
        </w:rPr>
        <w:t xml:space="preserve">4.3 Typography</w:t>
      </w:r>
    </w:p>
    <w:p>
      <w:pPr>
        <w:pStyle w:val="ListParagraph"/>
        <w:numPr>
          <w:ilvl w:val="0"/>
          <w:numId w:val="2"/>
        </w:numPr>
        <w:spacing w:after="80"/>
      </w:pPr>
      <w:r>
        <w:rPr>
          <w:rFonts w:ascii="Calibri" w:cs="Calibri" w:eastAsia="Calibri" w:hAnsi="Calibri"/>
          <w:color w:val="111928"/>
          <w:sz w:val="22"/>
          <w:szCs w:val="22"/>
        </w:rPr>
        <w:t xml:space="preserve">Navigation and headings: Calibri Bold / system-ui fallback</w:t>
      </w:r>
    </w:p>
    <w:p>
      <w:pPr>
        <w:pStyle w:val="ListParagraph"/>
        <w:numPr>
          <w:ilvl w:val="0"/>
          <w:numId w:val="2"/>
        </w:numPr>
        <w:spacing w:after="80"/>
      </w:pPr>
      <w:r>
        <w:rPr>
          <w:rFonts w:ascii="Calibri" w:cs="Calibri" w:eastAsia="Calibri" w:hAnsi="Calibri"/>
          <w:color w:val="111928"/>
          <w:sz w:val="22"/>
          <w:szCs w:val="22"/>
        </w:rPr>
        <w:t xml:space="preserve">Body text: 14px (22pt in Word), line-height 1.6, colour #111928</w:t>
      </w:r>
    </w:p>
    <w:p>
      <w:pPr>
        <w:pStyle w:val="ListParagraph"/>
        <w:numPr>
          <w:ilvl w:val="0"/>
          <w:numId w:val="2"/>
        </w:numPr>
        <w:spacing w:after="80"/>
      </w:pPr>
      <w:r>
        <w:rPr>
          <w:rFonts w:ascii="Calibri" w:cs="Calibri" w:eastAsia="Calibri" w:hAnsi="Calibri"/>
          <w:color w:val="111928"/>
          <w:sz w:val="22"/>
          <w:szCs w:val="22"/>
        </w:rPr>
        <w:t xml:space="preserve">Chart annotations and tooltips: 12px, colour #6B7280 (muted)</w:t>
      </w:r>
    </w:p>
    <w:p>
      <w:pPr>
        <w:pStyle w:val="ListParagraph"/>
        <w:numPr>
          <w:ilvl w:val="0"/>
          <w:numId w:val="2"/>
        </w:numPr>
        <w:spacing w:after="80"/>
      </w:pPr>
      <w:r>
        <w:rPr>
          <w:rFonts w:ascii="Calibri" w:cs="Calibri" w:eastAsia="Calibri" w:hAnsi="Calibri"/>
          <w:color w:val="111928"/>
          <w:sz w:val="22"/>
          <w:szCs w:val="22"/>
        </w:rPr>
        <w:t xml:space="preserve">Code blocks (feature names, model outputs): Fira Mono or Courier New, 13px</w:t>
      </w:r>
    </w:p>
    <w:p>
      <w:pPr>
        <w:spacing w:after="120"/>
      </w:pPr>
    </w:p>
    <w:p>
      <w:pPr>
        <w:pStyle w:val="Heading2"/>
        <w:spacing w:before="280" w:after="120"/>
      </w:pPr>
      <w:r>
        <w:rPr>
          <w:rFonts w:ascii="Calibri" w:cs="Calibri" w:eastAsia="Calibri" w:hAnsi="Calibri"/>
          <w:b/>
          <w:bCs/>
          <w:color w:val="111928"/>
          <w:sz w:val="28"/>
          <w:szCs w:val="28"/>
        </w:rPr>
        <w:t xml:space="preserve">4.4 Chart Standards</w:t>
      </w:r>
    </w:p>
    <w:p>
      <w:pPr>
        <w:pStyle w:val="ListParagraph"/>
        <w:numPr>
          <w:ilvl w:val="0"/>
          <w:numId w:val="2"/>
        </w:numPr>
        <w:spacing w:after="80"/>
      </w:pPr>
      <w:r>
        <w:rPr>
          <w:rFonts w:ascii="Calibri" w:cs="Calibri" w:eastAsia="Calibri" w:hAnsi="Calibri"/>
          <w:color w:val="111928"/>
          <w:sz w:val="22"/>
          <w:szCs w:val="22"/>
        </w:rPr>
        <w:t xml:space="preserve">All charts use the 8-colour sequential palette: #1A56DB, #0E9F6E, #E02424, #7E3AF2, #FF8A4C, #F59E0B, #06B6D4, #EC4899</w:t>
      </w:r>
    </w:p>
    <w:p>
      <w:pPr>
        <w:pStyle w:val="ListParagraph"/>
        <w:numPr>
          <w:ilvl w:val="0"/>
          <w:numId w:val="2"/>
        </w:numPr>
        <w:spacing w:after="80"/>
      </w:pPr>
      <w:r>
        <w:rPr>
          <w:rFonts w:ascii="Calibri" w:cs="Calibri" w:eastAsia="Calibri" w:hAnsi="Calibri"/>
          <w:color w:val="111928"/>
          <w:sz w:val="22"/>
          <w:szCs w:val="22"/>
        </w:rPr>
        <w:t xml:space="preserve">Chart backgrounds: #FFFFFF (panel) with #F4F6F9 figure background</w:t>
      </w:r>
    </w:p>
    <w:p>
      <w:pPr>
        <w:pStyle w:val="ListParagraph"/>
        <w:numPr>
          <w:ilvl w:val="0"/>
          <w:numId w:val="2"/>
        </w:numPr>
        <w:spacing w:after="80"/>
      </w:pPr>
      <w:r>
        <w:rPr>
          <w:rFonts w:ascii="Calibri" w:cs="Calibri" w:eastAsia="Calibri" w:hAnsi="Calibri"/>
          <w:color w:val="111928"/>
          <w:sz w:val="22"/>
          <w:szCs w:val="22"/>
        </w:rPr>
        <w:t xml:space="preserve">Grid lines: #E5E7EB at 60% opacity; axes: no top/right spines</w:t>
      </w:r>
    </w:p>
    <w:p>
      <w:pPr>
        <w:pStyle w:val="ListParagraph"/>
        <w:numPr>
          <w:ilvl w:val="0"/>
          <w:numId w:val="2"/>
        </w:numPr>
        <w:spacing w:after="80"/>
      </w:pPr>
      <w:r>
        <w:rPr>
          <w:rFonts w:ascii="Calibri" w:cs="Calibri" w:eastAsia="Calibri" w:hAnsi="Calibri"/>
          <w:color w:val="111928"/>
          <w:sz w:val="22"/>
          <w:szCs w:val="22"/>
        </w:rPr>
        <w:t xml:space="preserve">All charts include a visible data source attribution in the caption (e.g., "Source: IEA (2025), GHG Emissions from Energy")</w:t>
      </w:r>
    </w:p>
    <w:p>
      <w:pPr>
        <w:pStyle w:val="ListParagraph"/>
        <w:numPr>
          <w:ilvl w:val="0"/>
          <w:numId w:val="2"/>
        </w:numPr>
        <w:spacing w:after="80"/>
      </w:pPr>
      <w:r>
        <w:rPr>
          <w:rFonts w:ascii="Calibri" w:cs="Calibri" w:eastAsia="Calibri" w:hAnsi="Calibri"/>
          <w:color w:val="111928"/>
          <w:sz w:val="22"/>
          <w:szCs w:val="22"/>
        </w:rPr>
        <w:t xml:space="preserve">Hover tooltips: dark background (#111928), white text, border-radius 6px</w:t>
      </w:r>
    </w:p>
    <w:p>
      <w:r>
        <w:br w:type="page"/>
      </w:r>
    </w:p>
    <w:p>
      <w:pPr>
        <w:pStyle w:val="Heading1"/>
        <w:spacing w:before="360" w:after="160"/>
      </w:pPr>
      <w:r>
        <w:rPr>
          <w:rFonts w:ascii="Calibri" w:cs="Calibri" w:eastAsia="Calibri" w:hAnsi="Calibri"/>
          <w:b/>
          <w:bCs/>
          <w:color w:val="1A56DB"/>
          <w:sz w:val="36"/>
          <w:szCs w:val="36"/>
        </w:rPr>
        <w:t xml:space="preserve">5. XAI Output Display Specification</w:t>
      </w:r>
    </w:p>
    <w:p>
      <w:pPr>
        <w:spacing w:after="120"/>
      </w:pPr>
    </w:p>
    <w:p>
      <w:pPr>
        <w:pStyle w:val="Heading2"/>
        <w:spacing w:before="280" w:after="120"/>
      </w:pPr>
      <w:r>
        <w:rPr>
          <w:rFonts w:ascii="Calibri" w:cs="Calibri" w:eastAsia="Calibri" w:hAnsi="Calibri"/>
          <w:b/>
          <w:bCs/>
          <w:color w:val="111928"/>
          <w:sz w:val="28"/>
          <w:szCs w:val="28"/>
        </w:rPr>
        <w:t xml:space="preserve">5.1 SHAP Global Summary Plots</w:t>
      </w:r>
    </w:p>
    <w:p>
      <w:pPr>
        <w:spacing w:after="140"/>
        <w:jc w:val="both"/>
      </w:pPr>
      <w:r>
        <w:rPr>
          <w:rFonts w:ascii="Calibri" w:cs="Calibri" w:eastAsia="Calibri" w:hAnsi="Calibri"/>
          <w:b w:val="false"/>
          <w:bCs w:val="false"/>
          <w:i w:val="false"/>
          <w:iCs w:val="false"/>
          <w:color w:val="111928"/>
          <w:sz w:val="22"/>
          <w:szCs w:val="22"/>
        </w:rPr>
        <w:t xml:space="preserve">The SHAP beeswarm summary plot displays one dot per observation per feature. The x-axis shows the SHAP value (impact on model output); the y-axis ranks features by mean |SHAP|. Dot colour encodes the feature value magnitude (low = blue, high = red) using a diverging colormap. A colourbar legend is displayed to the right. Maximum 15 features are shown; a "Show all features" toggle reveals the complete ranked list. The accompanying bar chart (mean |SHAP|) uses the accent colour (#1A56DB) and displays value labels on each bar. Both plots are rendered via the SHAP Python library and embedded as static SVG images (in pre-computation mode) or as interactive Plotly charts (in live mode).</w:t>
      </w:r>
    </w:p>
    <w:p>
      <w:pPr>
        <w:spacing w:after="120"/>
      </w:pPr>
    </w:p>
    <w:p>
      <w:pPr>
        <w:pStyle w:val="Heading2"/>
        <w:spacing w:before="280" w:after="120"/>
      </w:pPr>
      <w:r>
        <w:rPr>
          <w:rFonts w:ascii="Calibri" w:cs="Calibri" w:eastAsia="Calibri" w:hAnsi="Calibri"/>
          <w:b/>
          <w:bCs/>
          <w:color w:val="111928"/>
          <w:sz w:val="28"/>
          <w:szCs w:val="28"/>
        </w:rPr>
        <w:t xml:space="preserve">5.2 SHAP Waterfall Plot (Local Explanation)</w:t>
      </w:r>
    </w:p>
    <w:p>
      <w:pPr>
        <w:spacing w:after="140"/>
        <w:jc w:val="both"/>
      </w:pPr>
      <w:r>
        <w:rPr>
          <w:rFonts w:ascii="Calibri" w:cs="Calibri" w:eastAsia="Calibri" w:hAnsi="Calibri"/>
          <w:b w:val="false"/>
          <w:bCs w:val="false"/>
          <w:i w:val="false"/>
          <w:iCs w:val="false"/>
          <w:color w:val="111928"/>
          <w:sz w:val="22"/>
          <w:szCs w:val="22"/>
        </w:rPr>
        <w:t xml:space="preserve">For a single country-year instance selected in local mode, the waterfall plot shows the prediction derivation from the base value (expected model output, E[f(X)]) to the final predicted value f(x). Each bar represents one feature's additive SHAP contribution: positive contributions (push prediction up) are shown in accent red (#E02424); negative contributions (push prediction down) are shown in accent blue (#1A56DB). Feature names and SHAP values are labelled on each bar. The base value and final prediction are annotated at the top and bottom of the waterfall.</w:t>
      </w:r>
    </w:p>
    <w:p>
      <w:pPr>
        <w:spacing w:after="120"/>
      </w:pPr>
    </w:p>
    <w:p>
      <w:pPr>
        <w:pStyle w:val="Heading2"/>
        <w:spacing w:before="280" w:after="120"/>
      </w:pPr>
      <w:r>
        <w:rPr>
          <w:rFonts w:ascii="Calibri" w:cs="Calibri" w:eastAsia="Calibri" w:hAnsi="Calibri"/>
          <w:b/>
          <w:bCs/>
          <w:color w:val="111928"/>
          <w:sz w:val="28"/>
          <w:szCs w:val="28"/>
        </w:rPr>
        <w:t xml:space="preserve">5.3 LIME Local Explanation</w:t>
      </w:r>
    </w:p>
    <w:p>
      <w:pPr>
        <w:spacing w:after="140"/>
        <w:jc w:val="both"/>
      </w:pPr>
      <w:r>
        <w:rPr>
          <w:rFonts w:ascii="Calibri" w:cs="Calibri" w:eastAsia="Calibri" w:hAnsi="Calibri"/>
          <w:b w:val="false"/>
          <w:bCs w:val="false"/>
          <w:i w:val="false"/>
          <w:iCs w:val="false"/>
          <w:color w:val="111928"/>
          <w:sz w:val="22"/>
          <w:szCs w:val="22"/>
        </w:rPr>
        <w:t xml:space="preserve">The LIME panel renders a horizontal bar chart of LIME linear model coefficients for the same instance selected in the waterfall view. Positive coefficients (positive contribution to prediction) are accent green (#0E9F6E); negative are accent red (#E02424). A table beneath the chart compares SHAP vs LIME top-10 feature rankings, highlighting discrepancies of more than 3 rank positions in amber (#FF8A4C), per the stability monitoring specification of Khan et al. (2024).</w:t>
      </w:r>
    </w:p>
    <w:p>
      <w:pPr>
        <w:spacing w:after="120"/>
      </w:pPr>
    </w:p>
    <w:p>
      <w:pPr>
        <w:pStyle w:val="Heading2"/>
        <w:spacing w:before="280" w:after="120"/>
      </w:pPr>
      <w:r>
        <w:rPr>
          <w:rFonts w:ascii="Calibri" w:cs="Calibri" w:eastAsia="Calibri" w:hAnsi="Calibri"/>
          <w:b/>
          <w:bCs/>
          <w:color w:val="111928"/>
          <w:sz w:val="28"/>
          <w:szCs w:val="28"/>
        </w:rPr>
        <w:t xml:space="preserve">5.4 Claude API Narrative Card</w:t>
      </w:r>
    </w:p>
    <w:p>
      <w:pPr>
        <w:spacing w:after="140"/>
        <w:jc w:val="both"/>
      </w:pPr>
      <w:r>
        <w:rPr>
          <w:rFonts w:ascii="Calibri" w:cs="Calibri" w:eastAsia="Calibri" w:hAnsi="Calibri"/>
          <w:b w:val="false"/>
          <w:bCs w:val="false"/>
          <w:i w:val="false"/>
          <w:iCs w:val="false"/>
          <w:color w:val="111928"/>
          <w:sz w:val="22"/>
          <w:szCs w:val="22"/>
        </w:rPr>
        <w:t xml:space="preserve">The narrative card is an accordion-style panel at the bottom of the Explainability and Policy Simulator tabs. When expanded, it displays the plain-language narrative generated by claude-sonnet-4-20250514 explaining the top-3 SHAP features and their policy implications. The card header shows the generation timestamp, the model used (XGBoost), and the target variable. A "Regenerate" button re-calls the Claude API with updated SHAP context. A "Copy" button copies the narrative to clipboard for inclusion in policy reports. The card footer includes a disclaimer: "This narrative is AI-generated for decision support purposes. All conclusions should be validated by qualified energy policy analysts."</w:t>
      </w:r>
    </w:p>
    <w:p>
      <w:r>
        <w:br w:type="page"/>
      </w:r>
    </w:p>
    <w:p>
      <w:pPr>
        <w:pStyle w:val="Heading1"/>
        <w:spacing w:before="360" w:after="160"/>
      </w:pPr>
      <w:r>
        <w:rPr>
          <w:rFonts w:ascii="Calibri" w:cs="Calibri" w:eastAsia="Calibri" w:hAnsi="Calibri"/>
          <w:b/>
          <w:bCs/>
          <w:color w:val="1A56DB"/>
          <w:sz w:val="36"/>
          <w:szCs w:val="36"/>
        </w:rPr>
        <w:t xml:space="preserve">6. Final Output Appearance &amp; Export Options</w:t>
      </w:r>
    </w:p>
    <w:p>
      <w:pPr>
        <w:spacing w:after="120"/>
      </w:pPr>
    </w:p>
    <w:p>
      <w:pPr>
        <w:pStyle w:val="Heading2"/>
        <w:spacing w:before="280" w:after="120"/>
      </w:pPr>
      <w:r>
        <w:rPr>
          <w:rFonts w:ascii="Calibri" w:cs="Calibri" w:eastAsia="Calibri" w:hAnsi="Calibri"/>
          <w:b/>
          <w:bCs/>
          <w:color w:val="111928"/>
          <w:sz w:val="28"/>
          <w:szCs w:val="28"/>
        </w:rPr>
        <w:t xml:space="preserve">6.1 Results Display</w:t>
      </w:r>
    </w:p>
    <w:p>
      <w:pPr>
        <w:spacing w:after="140"/>
        <w:jc w:val="both"/>
      </w:pPr>
      <w:r>
        <w:rPr>
          <w:rFonts w:ascii="Calibri" w:cs="Calibri" w:eastAsia="Calibri" w:hAnsi="Calibri"/>
          <w:b w:val="false"/>
          <w:bCs w:val="false"/>
          <w:i w:val="false"/>
          <w:iCs w:val="false"/>
          <w:color w:val="111928"/>
          <w:sz w:val="22"/>
          <w:szCs w:val="22"/>
        </w:rPr>
        <w:t xml:space="preserve">All prediction results are displayed with:</w:t>
      </w:r>
    </w:p>
    <w:p>
      <w:pPr>
        <w:pStyle w:val="ListParagraph"/>
        <w:numPr>
          <w:ilvl w:val="0"/>
          <w:numId w:val="2"/>
        </w:numPr>
        <w:spacing w:after="80"/>
      </w:pPr>
      <w:r>
        <w:rPr>
          <w:rFonts w:ascii="Calibri" w:cs="Calibri" w:eastAsia="Calibri" w:hAnsi="Calibri"/>
          <w:color w:val="111928"/>
          <w:sz w:val="22"/>
          <w:szCs w:val="22"/>
        </w:rPr>
        <w:t xml:space="preserve">Point estimate: the model's predicted value, formatted to 2 decimal places for scores and 1 decimal place for monetary values</w:t>
      </w:r>
    </w:p>
    <w:p>
      <w:pPr>
        <w:pStyle w:val="ListParagraph"/>
        <w:numPr>
          <w:ilvl w:val="0"/>
          <w:numId w:val="2"/>
        </w:numPr>
        <w:spacing w:after="80"/>
      </w:pPr>
      <w:r>
        <w:rPr>
          <w:rFonts w:ascii="Calibri" w:cs="Calibri" w:eastAsia="Calibri" w:hAnsi="Calibri"/>
          <w:color w:val="111928"/>
          <w:sz w:val="22"/>
          <w:szCs w:val="22"/>
        </w:rPr>
        <w:t xml:space="preserve">95% Confidence interval: displayed as ± bound in parentheses, e.g., "Policy Effectiveness Score: 0.67 (±0.04)"</w:t>
      </w:r>
    </w:p>
    <w:p>
      <w:pPr>
        <w:pStyle w:val="ListParagraph"/>
        <w:numPr>
          <w:ilvl w:val="0"/>
          <w:numId w:val="2"/>
        </w:numPr>
        <w:spacing w:after="80"/>
      </w:pPr>
      <w:r>
        <w:rPr>
          <w:rFonts w:ascii="Calibri" w:cs="Calibri" w:eastAsia="Calibri" w:hAnsi="Calibri"/>
          <w:color w:val="111928"/>
          <w:sz w:val="22"/>
          <w:szCs w:val="22"/>
        </w:rPr>
        <w:t xml:space="preserve">Trend indicator: upward or downward arrow with percentage change vs baseline or prior year</w:t>
      </w:r>
    </w:p>
    <w:p>
      <w:pPr>
        <w:pStyle w:val="ListParagraph"/>
        <w:numPr>
          <w:ilvl w:val="0"/>
          <w:numId w:val="2"/>
        </w:numPr>
        <w:spacing w:after="80"/>
      </w:pPr>
      <w:r>
        <w:rPr>
          <w:rFonts w:ascii="Calibri" w:cs="Calibri" w:eastAsia="Calibri" w:hAnsi="Calibri"/>
          <w:color w:val="111928"/>
          <w:sz w:val="22"/>
          <w:szCs w:val="22"/>
        </w:rPr>
        <w:t xml:space="preserve">Data source footnote: e.g., "Based on IEA GHG Highlights (2025) and EU ETS DataViewer 2024"</w:t>
      </w:r>
    </w:p>
    <w:p>
      <w:pPr>
        <w:spacing w:after="120"/>
      </w:pPr>
    </w:p>
    <w:p>
      <w:pPr>
        <w:pStyle w:val="Heading2"/>
        <w:spacing w:before="280" w:after="120"/>
      </w:pPr>
      <w:r>
        <w:rPr>
          <w:rFonts w:ascii="Calibri" w:cs="Calibri" w:eastAsia="Calibri" w:hAnsi="Calibri"/>
          <w:b/>
          <w:bCs/>
          <w:color w:val="111928"/>
          <w:sz w:val="28"/>
          <w:szCs w:val="28"/>
        </w:rPr>
        <w:t xml:space="preserve">6.2 Policy Recommendations Section</w:t>
      </w:r>
    </w:p>
    <w:p>
      <w:pPr>
        <w:spacing w:after="140"/>
        <w:jc w:val="both"/>
      </w:pPr>
      <w:r>
        <w:rPr>
          <w:rFonts w:ascii="Calibri" w:cs="Calibri" w:eastAsia="Calibri" w:hAnsi="Calibri"/>
          <w:b w:val="false"/>
          <w:bCs w:val="false"/>
          <w:i w:val="false"/>
          <w:iCs w:val="false"/>
          <w:color w:val="111928"/>
          <w:sz w:val="22"/>
          <w:szCs w:val="22"/>
        </w:rPr>
        <w:t xml:space="preserve">The Policy Simulator tab produces a structured policy recommendation card at the bottom of the results panel after each simulation run. This card contains:</w:t>
      </w:r>
    </w:p>
    <w:p>
      <w:pPr>
        <w:pStyle w:val="ListParagraph"/>
        <w:numPr>
          <w:ilvl w:val="0"/>
          <w:numId w:val="3"/>
        </w:numPr>
        <w:spacing w:after="80"/>
      </w:pPr>
      <w:r>
        <w:rPr>
          <w:rFonts w:ascii="Calibri" w:cs="Calibri" w:eastAsia="Calibri" w:hAnsi="Calibri"/>
          <w:color w:val="111928"/>
          <w:sz w:val="22"/>
          <w:szCs w:val="22"/>
        </w:rPr>
        <w:t xml:space="preserve">Summary headline: one-sentence characterisation of the simulated scenario outcome (generated by Claude API)</w:t>
      </w:r>
    </w:p>
    <w:p>
      <w:pPr>
        <w:pStyle w:val="ListParagraph"/>
        <w:numPr>
          <w:ilvl w:val="0"/>
          <w:numId w:val="3"/>
        </w:numPr>
        <w:spacing w:after="80"/>
      </w:pPr>
      <w:r>
        <w:rPr>
          <w:rFonts w:ascii="Calibri" w:cs="Calibri" w:eastAsia="Calibri" w:hAnsi="Calibri"/>
          <w:color w:val="111928"/>
          <w:sz w:val="22"/>
          <w:szCs w:val="22"/>
        </w:rPr>
        <w:t xml:space="preserve">Primary policy recommendation: the most impactful lever (as identified by sensitivity analysis tornado chart)</w:t>
      </w:r>
    </w:p>
    <w:p>
      <w:pPr>
        <w:pStyle w:val="ListParagraph"/>
        <w:numPr>
          <w:ilvl w:val="0"/>
          <w:numId w:val="3"/>
        </w:numPr>
        <w:spacing w:after="80"/>
      </w:pPr>
      <w:r>
        <w:rPr>
          <w:rFonts w:ascii="Calibri" w:cs="Calibri" w:eastAsia="Calibri" w:hAnsi="Calibri"/>
          <w:color w:val="111928"/>
          <w:sz w:val="22"/>
          <w:szCs w:val="22"/>
        </w:rPr>
        <w:t xml:space="preserve">Risk flags: features where model uncertainty (CI width) is unusually large, flagged in amber</w:t>
      </w:r>
    </w:p>
    <w:p>
      <w:pPr>
        <w:pStyle w:val="ListParagraph"/>
        <w:numPr>
          <w:ilvl w:val="0"/>
          <w:numId w:val="3"/>
        </w:numPr>
        <w:spacing w:after="80"/>
      </w:pPr>
      <w:r>
        <w:rPr>
          <w:rFonts w:ascii="Calibri" w:cs="Calibri" w:eastAsia="Calibri" w:hAnsi="Calibri"/>
          <w:color w:val="111928"/>
          <w:sz w:val="22"/>
          <w:szCs w:val="22"/>
        </w:rPr>
        <w:t xml:space="preserve">Complementary policy suggestions: drawn from SHAP interaction analysis (e.g., "High carbon price effectiveness is conditional on renewable share exceeding 40%; consider complementary renewable deployment targets")</w:t>
      </w:r>
    </w:p>
    <w:p>
      <w:pPr>
        <w:pStyle w:val="ListParagraph"/>
        <w:numPr>
          <w:ilvl w:val="0"/>
          <w:numId w:val="3"/>
        </w:numPr>
        <w:spacing w:after="80"/>
      </w:pPr>
      <w:r>
        <w:rPr>
          <w:rFonts w:ascii="Calibri" w:cs="Calibri" w:eastAsia="Calibri" w:hAnsi="Calibri"/>
          <w:color w:val="111928"/>
          <w:sz w:val="22"/>
          <w:szCs w:val="22"/>
        </w:rPr>
        <w:t xml:space="preserve">Confidence qualifier: plain-language statement of prediction confidence based on test-set R² for the selected target</w:t>
      </w:r>
    </w:p>
    <w:p>
      <w:pPr>
        <w:spacing w:after="120"/>
      </w:pPr>
    </w:p>
    <w:p>
      <w:pPr>
        <w:pStyle w:val="Heading2"/>
        <w:spacing w:before="280" w:after="120"/>
      </w:pPr>
      <w:r>
        <w:rPr>
          <w:rFonts w:ascii="Calibri" w:cs="Calibri" w:eastAsia="Calibri" w:hAnsi="Calibri"/>
          <w:b/>
          <w:bCs/>
          <w:color w:val="111928"/>
          <w:sz w:val="28"/>
          <w:szCs w:val="28"/>
        </w:rPr>
        <w:t xml:space="preserve">6.3 Export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312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Calibri" w:cs="Calibri" w:eastAsia="Calibri" w:hAnsi="Calibri"/>
                <w:b/>
                <w:bCs/>
                <w:color w:val="111928"/>
                <w:sz w:val="20"/>
                <w:szCs w:val="20"/>
              </w:rPr>
              <w:t xml:space="preserve">Export Type</w:t>
            </w:r>
          </w:p>
        </w:tc>
        <w:tc>
          <w:tcPr>
            <w:tcW w:type="dxa" w:w="312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Calibri" w:cs="Calibri" w:eastAsia="Calibri" w:hAnsi="Calibri"/>
                <w:b/>
                <w:bCs/>
                <w:color w:val="111928"/>
                <w:sz w:val="20"/>
                <w:szCs w:val="20"/>
              </w:rPr>
              <w:t xml:space="preserve">Format</w:t>
            </w:r>
          </w:p>
        </w:tc>
        <w:tc>
          <w:tcPr>
            <w:tcW w:type="dxa" w:w="312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Calibri" w:cs="Calibri" w:eastAsia="Calibri" w:hAnsi="Calibri"/>
                <w:b/>
                <w:bCs/>
                <w:color w:val="111928"/>
                <w:sz w:val="20"/>
                <w:szCs w:val="20"/>
              </w:rPr>
              <w:t xml:space="preserve">Contents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Predictions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Country, Year, Target, Actual, Predicted, CI_lower, CI_upper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SHAP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CSV / 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Full SHAP value matrix for test set (features × observations)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Feature Importance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Feature, SHAP_mean_abs, XGB_gain rank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Scenario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Charts, KPI delta cards, policy recommendation card, Claude narrative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All Charts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PNG (300 DPI)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Individual chart images with source attribution watermark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Master Dataset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Full engineered dataset with all features and targets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Model Metrics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928"/>
                <w:sz w:val="20"/>
                <w:szCs w:val="20"/>
              </w:rPr>
              <w:t xml:space="preserve">MAE, RMSE, R² for all models × splits × targets</w:t>
            </w:r>
          </w:p>
        </w:tc>
      </w:tr>
    </w:tbl>
    <w:p>
      <w:pPr>
        <w:spacing w:after="120"/>
      </w:pPr>
    </w:p>
    <w:p>
      <w:r>
        <w:br w:type="page"/>
      </w:r>
    </w:p>
    <w:p>
      <w:pPr>
        <w:pStyle w:val="Heading1"/>
        <w:spacing w:before="360" w:after="160"/>
      </w:pPr>
      <w:r>
        <w:rPr>
          <w:rFonts w:ascii="Calibri" w:cs="Calibri" w:eastAsia="Calibri" w:hAnsi="Calibri"/>
          <w:b/>
          <w:bCs/>
          <w:color w:val="1A56DB"/>
          <w:sz w:val="36"/>
          <w:szCs w:val="36"/>
        </w:rPr>
        <w:t xml:space="preserve">7. References</w:t>
      </w:r>
    </w:p>
    <w:p>
      <w:pPr>
        <w:spacing w:after="140"/>
        <w:jc w:val="both"/>
      </w:pPr>
      <w:r>
        <w:rPr>
          <w:rFonts w:ascii="Calibri" w:cs="Calibri" w:eastAsia="Calibri" w:hAnsi="Calibri"/>
          <w:b w:val="false"/>
          <w:bCs w:val="false"/>
          <w:i w:val="false"/>
          <w:iCs w:val="false"/>
          <w:color w:val="111928"/>
          <w:sz w:val="22"/>
          <w:szCs w:val="22"/>
        </w:rPr>
        <w:t xml:space="preserve">Abrell, J., Kosch, M. and Rausch, S. (2022) 'How effective is carbon pricing?—A machine learning approach to policy evaluation', Journal of Environmental Economics and Management, 112, 102589.</w:t>
      </w:r>
    </w:p>
    <w:p>
      <w:pPr>
        <w:spacing w:after="140"/>
        <w:jc w:val="both"/>
      </w:pPr>
      <w:r>
        <w:rPr>
          <w:rFonts w:ascii="Calibri" w:cs="Calibri" w:eastAsia="Calibri" w:hAnsi="Calibri"/>
          <w:b w:val="false"/>
          <w:bCs w:val="false"/>
          <w:i w:val="false"/>
          <w:iCs w:val="false"/>
          <w:color w:val="111928"/>
          <w:sz w:val="22"/>
          <w:szCs w:val="22"/>
        </w:rPr>
        <w:t xml:space="preserve">Bisiotis, D. (2025) 'Forecasting Carbon Prices: A Literature Review', Journal of Forecasting, 44(1), pp. 96–114.</w:t>
      </w:r>
    </w:p>
    <w:p>
      <w:pPr>
        <w:spacing w:after="140"/>
        <w:jc w:val="both"/>
      </w:pPr>
      <w:r>
        <w:rPr>
          <w:rFonts w:ascii="Calibri" w:cs="Calibri" w:eastAsia="Calibri" w:hAnsi="Calibri"/>
          <w:b w:val="false"/>
          <w:bCs w:val="false"/>
          <w:i w:val="false"/>
          <w:iCs w:val="false"/>
          <w:color w:val="111928"/>
          <w:sz w:val="22"/>
          <w:szCs w:val="22"/>
        </w:rPr>
        <w:t xml:space="preserve">Dolphin, G., Pollitt, M. and Newbery, D. (2024) 'Systematic review and meta-analysis of ex-post evaluations on the effectiveness of carbon pricing', Nature Communications, 15, 4147.</w:t>
      </w:r>
    </w:p>
    <w:p>
      <w:pPr>
        <w:spacing w:after="140"/>
        <w:jc w:val="both"/>
      </w:pPr>
      <w:r>
        <w:rPr>
          <w:rFonts w:ascii="Calibri" w:cs="Calibri" w:eastAsia="Calibri" w:hAnsi="Calibri"/>
          <w:b w:val="false"/>
          <w:bCs w:val="false"/>
          <w:i w:val="false"/>
          <w:iCs w:val="false"/>
          <w:color w:val="111928"/>
          <w:sz w:val="22"/>
          <w:szCs w:val="22"/>
        </w:rPr>
        <w:t xml:space="preserve">Khan, I.U. et al. (2024) 'Interpreting artificial intelligence models: a systematic review on the application of LIME and SHAP in Alzheimer's disease detection', Brain Informatics, 11(11).</w:t>
      </w:r>
    </w:p>
    <w:p>
      <w:pPr>
        <w:spacing w:after="140"/>
        <w:jc w:val="both"/>
      </w:pPr>
      <w:r>
        <w:rPr>
          <w:rFonts w:ascii="Calibri" w:cs="Calibri" w:eastAsia="Calibri" w:hAnsi="Calibri"/>
          <w:b w:val="false"/>
          <w:bCs w:val="false"/>
          <w:i w:val="false"/>
          <w:iCs w:val="false"/>
          <w:color w:val="111928"/>
          <w:sz w:val="22"/>
          <w:szCs w:val="22"/>
        </w:rPr>
        <w:t xml:space="preserve">Kungu, C.W. (2026) Explainable AI–Driven Decision Support System with Interactive Dashboard for Evaluating Carbon Pricing Policies in the Energy Sector. MSc Dissertation. University of the West of Scotland.</w:t>
      </w:r>
    </w:p>
    <w:p>
      <w:pPr>
        <w:spacing w:after="140"/>
        <w:jc w:val="both"/>
      </w:pPr>
      <w:r>
        <w:rPr>
          <w:rFonts w:ascii="Calibri" w:cs="Calibri" w:eastAsia="Calibri" w:hAnsi="Calibri"/>
          <w:b w:val="false"/>
          <w:bCs w:val="false"/>
          <w:i w:val="false"/>
          <w:iCs w:val="false"/>
          <w:color w:val="111928"/>
          <w:sz w:val="22"/>
          <w:szCs w:val="22"/>
        </w:rPr>
        <w:t xml:space="preserve">Matheus, R., Janssen, M. and Maheshwari, D. (2020) 'Data science empowering the public: Data-driven dashboards for transparent and accountable decision-making in smart cities', Government Information Quarterly, 37(3), 101284.</w:t>
      </w:r>
    </w:p>
    <w:p>
      <w:pPr>
        <w:spacing w:after="140"/>
        <w:jc w:val="both"/>
      </w:pPr>
      <w:r>
        <w:rPr>
          <w:rFonts w:ascii="Calibri" w:cs="Calibri" w:eastAsia="Calibri" w:hAnsi="Calibri"/>
          <w:b w:val="false"/>
          <w:bCs w:val="false"/>
          <w:i w:val="false"/>
          <w:iCs w:val="false"/>
          <w:color w:val="111928"/>
          <w:sz w:val="22"/>
          <w:szCs w:val="22"/>
        </w:rPr>
        <w:t xml:space="preserve">Ozkan, C., Albayrak, E.K. and Bayar, S. (2025) 'Deep learning based estimation of carbon emission allowances prices', International Journal of Energy Economics and Policy, 15(6), pp. 71–79.</w:t>
      </w:r>
    </w:p>
    <w:p>
      <w:pPr>
        <w:spacing w:after="140"/>
        <w:jc w:val="both"/>
      </w:pPr>
      <w:r>
        <w:rPr>
          <w:rFonts w:ascii="Calibri" w:cs="Calibri" w:eastAsia="Calibri" w:hAnsi="Calibri"/>
          <w:b w:val="false"/>
          <w:bCs w:val="false"/>
          <w:i w:val="false"/>
          <w:iCs w:val="false"/>
          <w:color w:val="111928"/>
          <w:sz w:val="22"/>
          <w:szCs w:val="22"/>
        </w:rPr>
        <w:t xml:space="preserve">Salih, A. et al. (2024) 'A Perspective on Explainable Artificial Intelligence Methods: SHAP and LIME', Advanced Intelligent Systems, 6(10), 2400304.</w:t>
      </w:r>
    </w:p>
    <w:p>
      <w:pPr>
        <w:spacing w:after="140"/>
        <w:jc w:val="both"/>
      </w:pPr>
      <w:r>
        <w:rPr>
          <w:rFonts w:ascii="Calibri" w:cs="Calibri" w:eastAsia="Calibri" w:hAnsi="Calibri"/>
          <w:b w:val="false"/>
          <w:bCs w:val="false"/>
          <w:i w:val="false"/>
          <w:iCs w:val="false"/>
          <w:color w:val="111928"/>
          <w:sz w:val="22"/>
          <w:szCs w:val="22"/>
        </w:rPr>
        <w:t xml:space="preserve">Van der Voort, H., Klievink, B. and Arnaboldi, M. (2018) 'Relating data to policy', Policy &amp; Internet, 11(1), pp. 7–25.</w:t>
      </w:r>
    </w:p>
    <w:p>
      <w:pPr>
        <w:spacing w:after="140"/>
        <w:jc w:val="both"/>
      </w:pPr>
      <w:r>
        <w:rPr>
          <w:rFonts w:ascii="Calibri" w:cs="Calibri" w:eastAsia="Calibri" w:hAnsi="Calibri"/>
          <w:b w:val="false"/>
          <w:bCs w:val="false"/>
          <w:i w:val="false"/>
          <w:iCs w:val="false"/>
          <w:color w:val="111928"/>
          <w:sz w:val="22"/>
          <w:szCs w:val="22"/>
        </w:rPr>
        <w:t xml:space="preserve">Vannieuwenhuyse, B. and Van Gasse, M. (2020) 'The effect of interactive analytical dashboard features on situation awareness and task performance', Decision Support Systems, 135, 113329.</w:t>
      </w:r>
    </w:p>
    <w:p>
      <w:pPr>
        <w:spacing w:after="120"/>
      </w:pPr>
    </w:p>
    <w:p>
      <w:pPr>
        <w:pBdr>
          <w:bottom w:val="single" w:color="1A56DB" w:sz="4"/>
        </w:pBdr>
        <w:spacing w:before="160" w:after="160"/>
      </w:pPr>
    </w:p>
    <w:p>
      <w:pPr>
        <w:spacing w:before="200" w:after="100"/>
        <w:jc w:val="center"/>
      </w:pPr>
      <w:r>
        <w:rPr>
          <w:rFonts w:ascii="Calibri" w:cs="Calibri" w:eastAsia="Calibri" w:hAnsi="Calibri"/>
          <w:i/>
          <w:iCs/>
          <w:color w:val="6B7280"/>
          <w:sz w:val="18"/>
          <w:szCs w:val="18"/>
        </w:rPr>
        <w:t xml:space="preserve">Christine Wanjiku Kungu | B01806008 | MSc IT with Data Analytics | University of the West of Scotland | February 2026</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9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A56DB"/>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111928"/>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0E9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2026-03-29T21:01:55.113Z</dcterms:created>
  <dcterms:modified xsi:type="dcterms:W3CDTF">2026-03-29T21:01:55.114Z</dcterms:modified>
</cp:coreProperties>
</file>

<file path=docProps/custom.xml><?xml version="1.0" encoding="utf-8"?>
<Properties xmlns="http://schemas.openxmlformats.org/officeDocument/2006/custom-properties" xmlns:vt="http://schemas.openxmlformats.org/officeDocument/2006/docPropsVTypes"/>
</file>