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563EB"/>
          <w:sz w:val="26"/>
        </w:rPr>
        <w:t>ENTERPRISE PERFORMANCE MANAGEMENT SYSTEM (PMS)</w:t>
        <w:br/>
      </w:r>
      <w:r>
        <w:rPr>
          <w:rFonts w:ascii="Calibri" w:hAnsi="Calibri"/>
          <w:b/>
          <w:color w:val="0F172A"/>
          <w:sz w:val="44"/>
        </w:rPr>
        <w:t>User Hierarchy Structure, Performance Plan Workflow &amp; Lifecycle Specification</w:t>
      </w:r>
    </w:p>
    <w:p>
      <w:pPr>
        <w:spacing w:after="280"/>
      </w:pPr>
      <w:r>
        <w:rPr>
          <w:rFonts w:ascii="Calibri" w:hAnsi="Calibri"/>
          <w:color w:val="64748B"/>
          <w:sz w:val="21"/>
        </w:rPr>
        <w:t>Comprehensive Technical &amp; Operational Architecture: Multi-Level Roles, Weight Governance, Approval States, Amendment Controls, and Visual Diagrams</w:t>
      </w:r>
    </w:p>
    <w:tbl>
      <w:tblPr>
        <w:tblW w:type="auto" w:w="0"/>
        <w:jc w:val="center"/>
        <w:tblLook w:firstColumn="1" w:firstRow="1" w:lastColumn="0" w:lastRow="0" w:noHBand="0" w:noVBand="1" w:val="04A0"/>
      </w:tblPr>
      <w:tblGrid>
        <w:gridCol w:w="2484"/>
        <w:gridCol w:w="2484"/>
        <w:gridCol w:w="2484"/>
        <w:gridCol w:w="2484"/>
      </w:tblGrid>
      <w:tr>
        <w:tc>
          <w:tcPr>
            <w:tcW w:type="dxa" w:w="2304"/>
            <w:shd w:fill="0F172A"/>
            <w:tcMar>
              <w:top w:w="140" w:type="dxa"/>
              <w:bottom w:w="140" w:type="dxa"/>
              <w:left w:w="160" w:type="dxa"/>
              <w:right w:w="160" w:type="dxa"/>
            </w:tcMar>
          </w:tcPr>
          <w:p>
            <w:pPr>
              <w:spacing w:before="0" w:after="0"/>
              <w:jc w:val="left"/>
            </w:pPr>
            <w:r>
              <w:rPr>
                <w:rFonts w:ascii="Calibri" w:hAnsi="Calibri"/>
                <w:b/>
                <w:color w:val="FFFFFF"/>
                <w:sz w:val="19"/>
              </w:rPr>
              <w:t>Platform / App</w:t>
            </w:r>
          </w:p>
        </w:tc>
        <w:tc>
          <w:tcPr>
            <w:tcW w:type="dxa" w:w="2592"/>
            <w:shd w:fill="0F172A"/>
            <w:tcMar>
              <w:top w:w="140" w:type="dxa"/>
              <w:bottom w:w="140" w:type="dxa"/>
              <w:left w:w="160" w:type="dxa"/>
              <w:right w:w="160" w:type="dxa"/>
            </w:tcMar>
          </w:tcPr>
          <w:p>
            <w:pPr>
              <w:spacing w:before="0" w:after="0"/>
              <w:jc w:val="left"/>
            </w:pPr>
            <w:r>
              <w:rPr>
                <w:rFonts w:ascii="Calibri" w:hAnsi="Calibri"/>
                <w:b/>
                <w:color w:val="FFFFFF"/>
                <w:sz w:val="19"/>
              </w:rPr>
              <w:t>Target Audience</w:t>
            </w:r>
          </w:p>
        </w:tc>
        <w:tc>
          <w:tcPr>
            <w:tcW w:type="dxa" w:w="2160"/>
            <w:shd w:fill="0F172A"/>
            <w:tcMar>
              <w:top w:w="140" w:type="dxa"/>
              <w:bottom w:w="140" w:type="dxa"/>
              <w:left w:w="160" w:type="dxa"/>
              <w:right w:w="160" w:type="dxa"/>
            </w:tcMar>
          </w:tcPr>
          <w:p>
            <w:pPr>
              <w:spacing w:before="0" w:after="0"/>
              <w:jc w:val="left"/>
            </w:pPr>
            <w:r>
              <w:rPr>
                <w:rFonts w:ascii="Calibri" w:hAnsi="Calibri"/>
                <w:b/>
                <w:color w:val="FFFFFF"/>
                <w:sz w:val="19"/>
              </w:rPr>
              <w:t>Specification Version</w:t>
            </w:r>
          </w:p>
        </w:tc>
        <w:tc>
          <w:tcPr>
            <w:tcW w:type="dxa" w:w="2304"/>
            <w:shd w:fill="0F172A"/>
            <w:tcMar>
              <w:top w:w="140" w:type="dxa"/>
              <w:bottom w:w="140" w:type="dxa"/>
              <w:left w:w="160" w:type="dxa"/>
              <w:right w:w="160" w:type="dxa"/>
            </w:tcMar>
          </w:tcPr>
          <w:p>
            <w:pPr>
              <w:spacing w:before="0" w:after="0"/>
              <w:jc w:val="left"/>
            </w:pPr>
            <w:r>
              <w:rPr>
                <w:rFonts w:ascii="Calibri" w:hAnsi="Calibri"/>
                <w:b/>
                <w:color w:val="FFFFFF"/>
                <w:sz w:val="19"/>
              </w:rPr>
              <w:t>Release Date</w:t>
            </w:r>
          </w:p>
        </w:tc>
      </w:tr>
      <w:tr>
        <w:tc>
          <w:tcPr>
            <w:tcW w:type="dxa" w:w="2484"/>
          </w:tcPr>
          <w:p/>
        </w:tc>
        <w:tc>
          <w:tcPr>
            <w:tcW w:type="dxa" w:w="2484"/>
          </w:tcPr>
          <w:p/>
        </w:tc>
        <w:tc>
          <w:tcPr>
            <w:tcW w:type="dxa" w:w="2484"/>
          </w:tcPr>
          <w:p/>
        </w:tc>
        <w:tc>
          <w:tcPr>
            <w:tcW w:type="dxa" w:w="2484"/>
          </w:tcP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GDL PMS (Frappe/ERPNext)</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HR, Leads, Developers</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Version 2.0 (Official)</w:t>
            </w:r>
          </w:p>
        </w:tc>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September 2026</w:t>
            </w:r>
          </w:p>
        </w:tc>
      </w:tr>
    </w:tbl>
    <w:p>
      <w:pPr>
        <w:spacing w:before="200" w:after="200"/>
      </w:pPr>
    </w:p>
    <w:p>
      <w:pPr>
        <w:pBdr>
          <w:bottom w:val="single" w:sz="12" w:space="1" w:color="CBD5E1"/>
        </w:pBdr>
      </w:pPr>
    </w:p>
    <w:p>
      <w:pPr>
        <w:pStyle w:val="Heading1"/>
        <w:spacing w:before="280" w:after="120"/>
      </w:pPr>
      <w:r>
        <w:rPr>
          <w:rFonts w:ascii="Calibri" w:hAnsi="Calibri"/>
          <w:b/>
          <w:color w:val="0F172A"/>
          <w:sz w:val="30"/>
        </w:rPr>
        <w:t>Executive Summary &amp; Architecture Overview</w:t>
      </w:r>
    </w:p>
    <w:p>
      <w:r>
        <w:t>The GDL Performance Management System (PMS) is an enterprise-grade appraisal framework built natively on Frappe and ERPNext. It governs the complete performance planning, goal-setting, mid-cycle monitoring, evaluation, and grievance redressal cycle across diverse organizational tiers. This specification establishes the formal reference for user roles, reporting hierarchy linkages, mathematical weight distributions, status transition gates, amendment protocols, and data models.</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left w:val="single" w:sz="24" w:space="0" w:color="3B82F6"/>
              <w:top w:val="none"/>
              <w:right w:val="none"/>
              <w:bottom w:val="none"/>
            </w:tcBorders>
          </w:tcPr>
          <w:p>
            <w:pPr>
              <w:spacing w:before="0" w:after="0"/>
            </w:pPr>
            <w:r>
              <w:rPr>
                <w:rFonts w:ascii="Calibri" w:hAnsi="Calibri"/>
                <w:b/>
                <w:color w:val="1D4ED8"/>
                <w:sz w:val="19"/>
              </w:rPr>
              <w:t xml:space="preserve">CORE GOVERNANCE PRINCIPLE: </w:t>
            </w:r>
            <w:r>
              <w:rPr>
                <w:rFonts w:ascii="Calibri" w:hAnsi="Calibri"/>
                <w:color w:val="1E293B"/>
                <w:sz w:val="19"/>
              </w:rPr>
              <w:t>The system strictly separates initial goal planning (Planning Open) from execution monitoring (Monitoring). Once a Performance Plan is Approved, direct editing of targets is locked at both the client UI and database backend levels. Any subsequent modifications require an official Plan Amendment routed through the multi-tier approval hierarchy.</w:t>
            </w:r>
          </w:p>
        </w:tc>
      </w:tr>
    </w:tbl>
    <w:p>
      <w:pPr>
        <w:spacing w:after="120"/>
      </w:pPr>
    </w:p>
    <w:p>
      <w:pPr>
        <w:pStyle w:val="Heading1"/>
        <w:spacing w:before="320" w:after="120"/>
      </w:pPr>
      <w:r>
        <w:rPr>
          <w:rFonts w:ascii="Calibri" w:hAnsi="Calibri"/>
          <w:b/>
          <w:color w:val="0F172A"/>
          <w:sz w:val="30"/>
        </w:rPr>
        <w:t>1. User Roles &amp; Organizational Hierarchy Structure</w:t>
      </w:r>
    </w:p>
    <w:p>
      <w:r>
        <w:t>The PMS framework establishes five distinct user operational tiers, each backed by specific role permissions, document-level security rules, and tailored portal workspaces. The evaluation chain is constructed dynamically from the primary Employee record and stored immutably as snapshot references on individual appraisal documents.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1E3A8A"/>
            <w:tcMar>
              <w:top w:w="140" w:type="dxa"/>
              <w:bottom w:w="140" w:type="dxa"/>
              <w:left w:w="160" w:type="dxa"/>
              <w:right w:w="160" w:type="dxa"/>
            </w:tcMar>
          </w:tcPr>
          <w:p>
            <w:pPr>
              <w:spacing w:before="0" w:after="0"/>
              <w:jc w:val="left"/>
            </w:pPr>
            <w:r>
              <w:rPr>
                <w:rFonts w:ascii="Calibri" w:hAnsi="Calibri"/>
                <w:b/>
                <w:color w:val="FFFFFF"/>
                <w:sz w:val="19"/>
              </w:rPr>
              <w:t>System Role</w:t>
            </w:r>
          </w:p>
        </w:tc>
        <w:tc>
          <w:tcPr>
            <w:tcW w:type="dxa" w:w="1728"/>
            <w:shd w:fill="1E3A8A"/>
            <w:tcMar>
              <w:top w:w="140" w:type="dxa"/>
              <w:bottom w:w="140" w:type="dxa"/>
              <w:left w:w="160" w:type="dxa"/>
              <w:right w:w="160" w:type="dxa"/>
            </w:tcMar>
          </w:tcPr>
          <w:p>
            <w:pPr>
              <w:spacing w:before="0" w:after="0"/>
              <w:jc w:val="left"/>
            </w:pPr>
            <w:r>
              <w:rPr>
                <w:rFonts w:ascii="Calibri" w:hAnsi="Calibri"/>
                <w:b/>
                <w:color w:val="FFFFFF"/>
                <w:sz w:val="19"/>
              </w:rPr>
              <w:t>Hierarchy Level</w:t>
            </w:r>
          </w:p>
        </w:tc>
        <w:tc>
          <w:tcPr>
            <w:tcW w:type="dxa" w:w="2592"/>
            <w:shd w:fill="1E3A8A"/>
            <w:tcMar>
              <w:top w:w="140" w:type="dxa"/>
              <w:bottom w:w="140" w:type="dxa"/>
              <w:left w:w="160" w:type="dxa"/>
              <w:right w:w="160" w:type="dxa"/>
            </w:tcMar>
          </w:tcPr>
          <w:p>
            <w:pPr>
              <w:spacing w:before="0" w:after="0"/>
              <w:jc w:val="left"/>
            </w:pPr>
            <w:r>
              <w:rPr>
                <w:rFonts w:ascii="Calibri" w:hAnsi="Calibri"/>
                <w:b/>
                <w:color w:val="FFFFFF"/>
                <w:sz w:val="19"/>
              </w:rPr>
              <w:t>Core Responsibilities</w:t>
            </w:r>
          </w:p>
        </w:tc>
        <w:tc>
          <w:tcPr>
            <w:tcW w:type="dxa" w:w="1872"/>
            <w:shd w:fill="1E3A8A"/>
            <w:tcMar>
              <w:top w:w="140" w:type="dxa"/>
              <w:bottom w:w="140" w:type="dxa"/>
              <w:left w:w="160" w:type="dxa"/>
              <w:right w:w="160" w:type="dxa"/>
            </w:tcMar>
          </w:tcPr>
          <w:p>
            <w:pPr>
              <w:spacing w:before="0" w:after="0"/>
              <w:jc w:val="left"/>
            </w:pPr>
            <w:r>
              <w:rPr>
                <w:rFonts w:ascii="Calibri" w:hAnsi="Calibri"/>
                <w:b/>
                <w:color w:val="FFFFFF"/>
                <w:sz w:val="19"/>
              </w:rPr>
              <w:t>Permitted Actions</w:t>
            </w:r>
          </w:p>
        </w:tc>
        <w:tc>
          <w:tcPr>
            <w:tcW w:type="dxa" w:w="1440"/>
            <w:shd w:fill="1E3A8A"/>
            <w:tcMar>
              <w:top w:w="140" w:type="dxa"/>
              <w:bottom w:w="140" w:type="dxa"/>
              <w:left w:w="160" w:type="dxa"/>
              <w:right w:w="160" w:type="dxa"/>
            </w:tcMar>
          </w:tcPr>
          <w:p>
            <w:pPr>
              <w:spacing w:before="0" w:after="0"/>
              <w:jc w:val="left"/>
            </w:pPr>
            <w:r>
              <w:rPr>
                <w:rFonts w:ascii="Calibri" w:hAnsi="Calibri"/>
                <w:b/>
                <w:color w:val="FFFFFF"/>
                <w:sz w:val="19"/>
              </w:rPr>
              <w:t>Access Mode</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Employee</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Base Appraisee</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Creates draft plans, defines work targets, submits for review, requests plan amendments, submits self-appraisal ratings.</w:t>
            </w:r>
          </w:p>
        </w:tc>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Create, Save, Send for Approval, Request Amendment</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Read/Write (Draft)</w:t>
            </w:r>
          </w:p>
        </w:tc>
      </w:tr>
      <w:tr>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Supervisor (1)</w:t>
            </w:r>
          </w:p>
        </w:tc>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First Reviewer (Reports-To)</w:t>
            </w:r>
          </w:p>
        </w:tc>
        <w:tc>
          <w:tcPr>
            <w:tcW w:type="dxa" w:w="2592"/>
            <w:shd w:fill="F8FAFC"/>
            <w:tcMar>
              <w:top w:w="100" w:type="dxa"/>
              <w:bottom w:w="100" w:type="dxa"/>
              <w:left w:w="150" w:type="dxa"/>
              <w:right w:w="150" w:type="dxa"/>
            </w:tcMar>
          </w:tcPr>
          <w:p>
            <w:pPr>
              <w:spacing w:before="0" w:after="0"/>
              <w:jc w:val="left"/>
            </w:pPr>
            <w:r>
              <w:rPr>
                <w:rFonts w:ascii="Calibri" w:hAnsi="Calibri"/>
                <w:color w:val="334155"/>
                <w:sz w:val="18"/>
              </w:rPr>
              <w:t>Direct line manager. Conducts first-tier evaluation, assesses target clarity and realistic weights, provides approval or rejection remarks.</w:t>
            </w:r>
          </w:p>
        </w:tc>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Approve Plan, Reject Plan, Approve/Reject Amendment</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Read/Write (Pending)</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Reviewer</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Second Reviewer (VP / Dept Head)</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Department head or functional executive. Ensures organizational alignment, equity across teams, and final authorization of goals.</w:t>
            </w:r>
          </w:p>
        </w:tc>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Approve Plan, Reject Plan, Finalize Amendment</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Read/Write (Pending)</w:t>
            </w:r>
          </w:p>
        </w:tc>
      </w:tr>
      <w:tr>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Supervisor 2</w:t>
            </w:r>
          </w:p>
        </w:tc>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Secondary / Matrix Lead</w:t>
            </w:r>
          </w:p>
        </w:tc>
        <w:tc>
          <w:tcPr>
            <w:tcW w:type="dxa" w:w="2592"/>
            <w:shd w:fill="F8FAFC"/>
            <w:tcMar>
              <w:top w:w="100" w:type="dxa"/>
              <w:bottom w:w="100" w:type="dxa"/>
              <w:left w:w="150" w:type="dxa"/>
              <w:right w:w="150" w:type="dxa"/>
            </w:tcMar>
          </w:tcPr>
          <w:p>
            <w:pPr>
              <w:spacing w:before="0" w:after="0"/>
              <w:jc w:val="left"/>
            </w:pPr>
            <w:r>
              <w:rPr>
                <w:rFonts w:ascii="Calibri" w:hAnsi="Calibri"/>
                <w:color w:val="334155"/>
                <w:sz w:val="18"/>
              </w:rPr>
              <w:t>Project manager, technical lead, or matrix coordinator. Maintains strict oversight of cross-functional team members.</w:t>
            </w:r>
          </w:p>
        </w:tc>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View Performance Plans, View Amendments, Track Progress</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Strict READ-ONLY</w:t>
            </w:r>
          </w:p>
        </w:tc>
      </w:tr>
      <w:tr>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HR Admin / Manager</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System Administrator</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Appraisal cycle configuration, active employee synchronization, window opening/closing, dispute mediation, system audits.</w:t>
            </w:r>
          </w:p>
        </w:tc>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Cycle Setup, Sync Employees, Override Permissions</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Full Management</w:t>
            </w:r>
          </w:p>
        </w:tc>
      </w:tr>
      <w:tr>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PERC Committee</w:t>
            </w:r>
          </w:p>
        </w:tc>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Grievance Tribunal</w:t>
            </w:r>
          </w:p>
        </w:tc>
        <w:tc>
          <w:tcPr>
            <w:tcW w:type="dxa" w:w="2592"/>
            <w:shd w:fill="F8FAFC"/>
            <w:tcMar>
              <w:top w:w="100" w:type="dxa"/>
              <w:bottom w:w="100" w:type="dxa"/>
              <w:left w:w="150" w:type="dxa"/>
              <w:right w:w="150" w:type="dxa"/>
            </w:tcMar>
          </w:tcPr>
          <w:p>
            <w:pPr>
              <w:spacing w:before="0" w:after="0"/>
              <w:jc w:val="left"/>
            </w:pPr>
            <w:r>
              <w:rPr>
                <w:rFonts w:ascii="Calibri" w:hAnsi="Calibri"/>
                <w:color w:val="334155"/>
                <w:sz w:val="18"/>
              </w:rPr>
              <w:t>Performance Evaluation &amp; Review Committee. Adjudicates employee grievance cases, conducts hearings, and issues binding score overrides.</w:t>
            </w:r>
          </w:p>
        </w:tc>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Review Cases, Conduct Hearings, Resolve Scores</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Tribunal Authority</w:t>
            </w:r>
          </w:p>
        </w:tc>
      </w:tr>
    </w:tbl>
    <w:p>
      <w:pPr>
        <w:spacing w:after="80"/>
      </w:pPr>
    </w:p>
    <w:p>
      <w:pPr>
        <w:spacing w:before="160" w:after="40"/>
        <w:jc w:val="center"/>
      </w:pPr>
    </w:p>
    <w:p>
      <w:r>
        <w:drawing>
          <wp:inline xmlns:a="http://schemas.openxmlformats.org/drawingml/2006/main" xmlns:pic="http://schemas.openxmlformats.org/drawingml/2006/picture">
            <wp:extent cx="5943600" cy="3542145"/>
            <wp:docPr id="1" name="Picture 1"/>
            <wp:cNvGraphicFramePr>
              <a:graphicFrameLocks noChangeAspect="1"/>
            </wp:cNvGraphicFramePr>
            <a:graphic>
              <a:graphicData uri="http://schemas.openxmlformats.org/drawingml/2006/picture">
                <pic:pic>
                  <pic:nvPicPr>
                    <pic:cNvPr id="0" name="diag1_user_hierarchy.png"/>
                    <pic:cNvPicPr/>
                  </pic:nvPicPr>
                  <pic:blipFill>
                    <a:blip r:embed="rId9"/>
                    <a:stretch>
                      <a:fillRect/>
                    </a:stretch>
                  </pic:blipFill>
                  <pic:spPr>
                    <a:xfrm>
                      <a:off x="0" y="0"/>
                      <a:ext cx="5943600" cy="3542145"/>
                    </a:xfrm>
                    <a:prstGeom prst="rect"/>
                  </pic:spPr>
                </pic:pic>
              </a:graphicData>
            </a:graphic>
          </wp:inline>
        </w:drawing>
      </w:r>
    </w:p>
    <w:p>
      <w:pPr>
        <w:spacing w:after="200"/>
        <w:jc w:val="center"/>
      </w:pPr>
      <w:r>
        <w:rPr>
          <w:rFonts w:ascii="Calibri" w:hAnsi="Calibri"/>
          <w:i/>
          <w:color w:val="64748B"/>
          <w:sz w:val="17"/>
        </w:rPr>
        <w:t>Figure 1: PMS Multi-Tier Organizational Hierarchy and Reporting Architecture</w:t>
      </w:r>
    </w:p>
    <w:p>
      <w:pPr>
        <w:pStyle w:val="Heading2"/>
        <w:spacing w:before="240" w:after="80"/>
      </w:pPr>
      <w:r>
        <w:rPr>
          <w:rFonts w:ascii="Calibri" w:hAnsi="Calibri"/>
          <w:b/>
          <w:color w:val="1E293B"/>
          <w:sz w:val="25"/>
        </w:rPr>
        <w:t>1.1 Grade Group Classifications &amp; Mathematical Weight Rules</w:t>
      </w:r>
    </w:p>
    <w:p>
      <w:r>
        <w:t>All employees are classified into one of two primary grade groups within ERPNext: Professional Staff (PS_CS) or Operating Staff (OS_ESP). The system automatically enforces distinct mathematical weighting rules upon plan creation: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872"/>
            <w:shd w:fill="0F766E"/>
            <w:tcMar>
              <w:top w:w="140" w:type="dxa"/>
              <w:bottom w:w="140" w:type="dxa"/>
              <w:left w:w="160" w:type="dxa"/>
              <w:right w:w="160" w:type="dxa"/>
            </w:tcMar>
          </w:tcPr>
          <w:p>
            <w:pPr>
              <w:spacing w:before="0" w:after="0"/>
              <w:jc w:val="left"/>
            </w:pPr>
            <w:r>
              <w:rPr>
                <w:rFonts w:ascii="Calibri" w:hAnsi="Calibri"/>
                <w:b/>
                <w:color w:val="FFFFFF"/>
                <w:sz w:val="19"/>
              </w:rPr>
              <w:t>Grade Group</w:t>
            </w:r>
          </w:p>
        </w:tc>
        <w:tc>
          <w:tcPr>
            <w:tcW w:type="dxa" w:w="1872"/>
            <w:shd w:fill="0F766E"/>
            <w:tcMar>
              <w:top w:w="140" w:type="dxa"/>
              <w:bottom w:w="140" w:type="dxa"/>
              <w:left w:w="160" w:type="dxa"/>
              <w:right w:w="160" w:type="dxa"/>
            </w:tcMar>
          </w:tcPr>
          <w:p>
            <w:pPr>
              <w:spacing w:before="0" w:after="0"/>
              <w:jc w:val="left"/>
            </w:pPr>
            <w:r>
              <w:rPr>
                <w:rFonts w:ascii="Calibri" w:hAnsi="Calibri"/>
                <w:b/>
                <w:color w:val="FFFFFF"/>
                <w:sz w:val="19"/>
              </w:rPr>
              <w:t>Classification Name</w:t>
            </w:r>
          </w:p>
        </w:tc>
        <w:tc>
          <w:tcPr>
            <w:tcW w:type="dxa" w:w="1872"/>
            <w:shd w:fill="0F766E"/>
            <w:tcMar>
              <w:top w:w="140" w:type="dxa"/>
              <w:bottom w:w="140" w:type="dxa"/>
              <w:left w:w="160" w:type="dxa"/>
              <w:right w:w="160" w:type="dxa"/>
            </w:tcMar>
          </w:tcPr>
          <w:p>
            <w:pPr>
              <w:spacing w:before="0" w:after="0"/>
              <w:jc w:val="left"/>
            </w:pPr>
            <w:r>
              <w:rPr>
                <w:rFonts w:ascii="Calibri" w:hAnsi="Calibri"/>
                <w:b/>
                <w:color w:val="FFFFFF"/>
                <w:sz w:val="19"/>
              </w:rPr>
              <w:t>Work Targets Total</w:t>
            </w:r>
          </w:p>
        </w:tc>
        <w:tc>
          <w:tcPr>
            <w:tcW w:type="dxa" w:w="2016"/>
            <w:shd w:fill="0F766E"/>
            <w:tcMar>
              <w:top w:w="140" w:type="dxa"/>
              <w:bottom w:w="140" w:type="dxa"/>
              <w:left w:w="160" w:type="dxa"/>
              <w:right w:w="160" w:type="dxa"/>
            </w:tcMar>
          </w:tcPr>
          <w:p>
            <w:pPr>
              <w:spacing w:before="0" w:after="0"/>
              <w:jc w:val="left"/>
            </w:pPr>
            <w:r>
              <w:rPr>
                <w:rFonts w:ascii="Calibri" w:hAnsi="Calibri"/>
                <w:b/>
                <w:color w:val="FFFFFF"/>
                <w:sz w:val="19"/>
              </w:rPr>
              <w:t>Competencies Total</w:t>
            </w:r>
          </w:p>
        </w:tc>
        <w:tc>
          <w:tcPr>
            <w:tcW w:type="dxa" w:w="1728"/>
            <w:shd w:fill="0F766E"/>
            <w:tcMar>
              <w:top w:w="140" w:type="dxa"/>
              <w:bottom w:w="140" w:type="dxa"/>
              <w:left w:w="160" w:type="dxa"/>
              <w:right w:w="160" w:type="dxa"/>
            </w:tcMar>
          </w:tcPr>
          <w:p>
            <w:pPr>
              <w:spacing w:before="0" w:after="0"/>
              <w:jc w:val="left"/>
            </w:pPr>
            <w:r>
              <w:rPr>
                <w:rFonts w:ascii="Calibri" w:hAnsi="Calibri"/>
                <w:b/>
                <w:color w:val="FFFFFF"/>
                <w:sz w:val="19"/>
              </w:rPr>
              <w:t>Per-Competency Wt</w:t>
            </w:r>
          </w:p>
        </w:tc>
      </w:tr>
      <w:tr>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PS_CS</w:t>
            </w:r>
          </w:p>
        </w:tc>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Professional Staff (PS)</w:t>
            </w:r>
          </w:p>
        </w:tc>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60% (Exact sum)</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40% (5 Competencies)</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8% per row</w:t>
            </w:r>
          </w:p>
        </w:tc>
      </w:tr>
      <w:tr>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OS_ESP</w:t>
            </w:r>
          </w:p>
        </w:tc>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Operating Staff (OS)</w:t>
            </w:r>
          </w:p>
        </w:tc>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50% (Exact sum)</w:t>
            </w:r>
          </w:p>
        </w:tc>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50% (5 Competencies)</w:t>
            </w:r>
          </w:p>
        </w:tc>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10% per row</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200" w:type="dxa"/>
              <w:right w:w="180" w:type="dxa"/>
            </w:tcMar>
            <w:tcBorders>
              <w:left w:val="single" w:sz="24" w:space="0" w:color="F59E0B"/>
              <w:top w:val="none"/>
              <w:right w:val="none"/>
              <w:bottom w:val="none"/>
            </w:tcBorders>
          </w:tcPr>
          <w:p>
            <w:pPr>
              <w:spacing w:before="0" w:after="0"/>
            </w:pPr>
            <w:r>
              <w:rPr>
                <w:rFonts w:ascii="Calibri" w:hAnsi="Calibri"/>
                <w:b/>
                <w:color w:val="B45309"/>
                <w:sz w:val="19"/>
              </w:rPr>
              <w:t xml:space="preserve">VALIDATION ENFORCEMENT: </w:t>
            </w:r>
            <w:r>
              <w:rPr>
                <w:rFonts w:ascii="Calibri" w:hAnsi="Calibri"/>
                <w:color w:val="1E293B"/>
                <w:sz w:val="19"/>
              </w:rPr>
              <w:t>System validation will throw a validation error blocking document save if the total sum of target weights does not equal exactly 60% for PS_CS or 50% for OS_ESP. The 5 standard behavioral competencies are automatically initialized by the system: (1) Job Knowledge &amp; Skills, (2) Quality of Work, (3) Communication &amp; Teamwork, (4) Initiative &amp; Problem Solving, and (5) Attendance &amp; Punctuality.</w:t>
            </w:r>
          </w:p>
        </w:tc>
      </w:tr>
    </w:tbl>
    <w:p>
      <w:pPr>
        <w:spacing w:after="120"/>
      </w:pPr>
    </w:p>
    <w:p>
      <w:pPr>
        <w:pStyle w:val="Heading2"/>
        <w:spacing w:before="240" w:after="80"/>
      </w:pPr>
      <w:r>
        <w:rPr>
          <w:rFonts w:ascii="Calibri" w:hAnsi="Calibri"/>
          <w:b/>
          <w:color w:val="1E293B"/>
          <w:sz w:val="25"/>
        </w:rPr>
        <w:t>1.2 Automated Role Assignment &amp; Security Architecture</w:t>
      </w:r>
    </w:p>
    <w:p>
      <w:r>
        <w:t>To eliminate manual role administration, GDL PMS implements an automated permission hook (auto_assign_roles) triggered on every Employee record update. The mechanism operates as follows:</w:t>
        <w:br/>
        <w:t>• Employee Role: Automatically assigned to the user linked in Employee.user_id.</w:t>
        <w:br/>
        <w:t>• Supervisor Role: Automatically assigned to the user linked in Employee.reports_to.</w:t>
        <w:br/>
        <w:t>• Reviewer Role: Automatically assigned to the user linked in Employee.reviewer.</w:t>
        <w:br/>
        <w:t>• Supervisor 2 Role: Automatically assigned to the user linked in Employee.supervisor_2.</w:t>
        <w:br/>
        <w:t>• Scoped User Permissions: Creates User Permissions restricted specifically to 'PMS Appraisal' doctype so supervisors only access records of their assigned team members without exposing broader company data.</w:t>
      </w:r>
    </w:p>
    <w:p>
      <w:pPr>
        <w:pStyle w:val="Heading2"/>
        <w:spacing w:before="240" w:after="80"/>
      </w:pPr>
      <w:r>
        <w:rPr>
          <w:rFonts w:ascii="Calibri" w:hAnsi="Calibri"/>
          <w:b/>
          <w:color w:val="1E293B"/>
          <w:sz w:val="25"/>
        </w:rPr>
        <w:t>1.3 Standard Implementation Hierarchy (Live System Reference)</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334155"/>
            <w:tcMar>
              <w:top w:w="140" w:type="dxa"/>
              <w:bottom w:w="140" w:type="dxa"/>
              <w:left w:w="160" w:type="dxa"/>
              <w:right w:w="160" w:type="dxa"/>
            </w:tcMar>
          </w:tcPr>
          <w:p>
            <w:pPr>
              <w:spacing w:before="0" w:after="0"/>
              <w:jc w:val="left"/>
            </w:pPr>
            <w:r>
              <w:rPr>
                <w:rFonts w:ascii="Calibri" w:hAnsi="Calibri"/>
                <w:b/>
                <w:color w:val="FFFFFF"/>
                <w:sz w:val="19"/>
              </w:rPr>
              <w:t>Employee Name</w:t>
            </w:r>
          </w:p>
        </w:tc>
        <w:tc>
          <w:tcPr>
            <w:tcW w:type="dxa" w:w="2160"/>
            <w:shd w:fill="334155"/>
            <w:tcMar>
              <w:top w:w="140" w:type="dxa"/>
              <w:bottom w:w="140" w:type="dxa"/>
              <w:left w:w="160" w:type="dxa"/>
              <w:right w:w="160" w:type="dxa"/>
            </w:tcMar>
          </w:tcPr>
          <w:p>
            <w:pPr>
              <w:spacing w:before="0" w:after="0"/>
              <w:jc w:val="left"/>
            </w:pPr>
            <w:r>
              <w:rPr>
                <w:rFonts w:ascii="Calibri" w:hAnsi="Calibri"/>
                <w:b/>
                <w:color w:val="FFFFFF"/>
                <w:sz w:val="19"/>
              </w:rPr>
              <w:t>Designation</w:t>
            </w:r>
          </w:p>
        </w:tc>
        <w:tc>
          <w:tcPr>
            <w:tcW w:type="dxa" w:w="2016"/>
            <w:shd w:fill="334155"/>
            <w:tcMar>
              <w:top w:w="140" w:type="dxa"/>
              <w:bottom w:w="140" w:type="dxa"/>
              <w:left w:w="160" w:type="dxa"/>
              <w:right w:w="160" w:type="dxa"/>
            </w:tcMar>
          </w:tcPr>
          <w:p>
            <w:pPr>
              <w:spacing w:before="0" w:after="0"/>
              <w:jc w:val="left"/>
            </w:pPr>
            <w:r>
              <w:rPr>
                <w:rFonts w:ascii="Calibri" w:hAnsi="Calibri"/>
                <w:b/>
                <w:color w:val="FFFFFF"/>
                <w:sz w:val="19"/>
              </w:rPr>
              <w:t>Assigned PMS Role</w:t>
            </w:r>
          </w:p>
        </w:tc>
        <w:tc>
          <w:tcPr>
            <w:tcW w:type="dxa" w:w="1584"/>
            <w:shd w:fill="334155"/>
            <w:tcMar>
              <w:top w:w="140" w:type="dxa"/>
              <w:bottom w:w="140" w:type="dxa"/>
              <w:left w:w="160" w:type="dxa"/>
              <w:right w:w="160" w:type="dxa"/>
            </w:tcMar>
          </w:tcPr>
          <w:p>
            <w:pPr>
              <w:spacing w:before="0" w:after="0"/>
              <w:jc w:val="left"/>
            </w:pPr>
            <w:r>
              <w:rPr>
                <w:rFonts w:ascii="Calibri" w:hAnsi="Calibri"/>
                <w:b/>
                <w:color w:val="FFFFFF"/>
                <w:sz w:val="19"/>
              </w:rPr>
              <w:t>Grade Group</w:t>
            </w:r>
          </w:p>
        </w:tc>
        <w:tc>
          <w:tcPr>
            <w:tcW w:type="dxa" w:w="1584"/>
            <w:shd w:fill="334155"/>
            <w:tcMar>
              <w:top w:w="140" w:type="dxa"/>
              <w:bottom w:w="140" w:type="dxa"/>
              <w:left w:w="160" w:type="dxa"/>
              <w:right w:w="160" w:type="dxa"/>
            </w:tcMar>
          </w:tcPr>
          <w:p>
            <w:pPr>
              <w:spacing w:before="0" w:after="0"/>
              <w:jc w:val="left"/>
            </w:pPr>
            <w:r>
              <w:rPr>
                <w:rFonts w:ascii="Calibri" w:hAnsi="Calibri"/>
                <w:b/>
                <w:color w:val="FFFFFF"/>
                <w:sz w:val="19"/>
              </w:rPr>
              <w:t>System Scope</w:t>
            </w:r>
          </w:p>
        </w:tc>
      </w:tr>
      <w:tr>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Rahul Sharma / Karma Wangchuk</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Manager</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Supervisor (Reports To)</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PS_CS</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Level 1 Appraiser</w:t>
            </w:r>
          </w:p>
        </w:tc>
      </w:tr>
      <w:tr>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Amit Verma / Sonam Tobgay</w:t>
            </w:r>
          </w:p>
        </w:tc>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Vice President</w:t>
            </w:r>
          </w:p>
        </w:tc>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Reviewer</w:t>
            </w:r>
          </w:p>
        </w:tc>
        <w:tc>
          <w:tcPr>
            <w:tcW w:type="dxa" w:w="1584"/>
            <w:shd w:fill="F8FAFC"/>
            <w:tcMar>
              <w:top w:w="100" w:type="dxa"/>
              <w:bottom w:w="100" w:type="dxa"/>
              <w:left w:w="150" w:type="dxa"/>
              <w:right w:w="150" w:type="dxa"/>
            </w:tcMar>
          </w:tcPr>
          <w:p>
            <w:pPr>
              <w:spacing w:before="0" w:after="0"/>
              <w:jc w:val="left"/>
            </w:pPr>
            <w:r>
              <w:rPr>
                <w:rFonts w:ascii="Calibri" w:hAnsi="Calibri"/>
                <w:color w:val="334155"/>
                <w:sz w:val="18"/>
              </w:rPr>
              <w:t>PS_CS</w:t>
            </w:r>
          </w:p>
        </w:tc>
        <w:tc>
          <w:tcPr>
            <w:tcW w:type="dxa" w:w="1584"/>
            <w:shd w:fill="F8FAFC"/>
            <w:tcMar>
              <w:top w:w="100" w:type="dxa"/>
              <w:bottom w:w="100" w:type="dxa"/>
              <w:left w:w="150" w:type="dxa"/>
              <w:right w:w="150" w:type="dxa"/>
            </w:tcMar>
          </w:tcPr>
          <w:p>
            <w:pPr>
              <w:spacing w:before="0" w:after="0"/>
              <w:jc w:val="left"/>
            </w:pPr>
            <w:r>
              <w:rPr>
                <w:rFonts w:ascii="Calibri" w:hAnsi="Calibri"/>
                <w:color w:val="334155"/>
                <w:sz w:val="18"/>
              </w:rPr>
              <w:t>Level 2 Approver</w:t>
            </w:r>
          </w:p>
        </w:tc>
      </w:tr>
      <w:tr>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Rajesh Kumar / Tashi Dorji</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Project Manager</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Supervisor 2</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PS_CS</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Read-Only Oversight</w:t>
            </w:r>
          </w:p>
        </w:tc>
      </w:tr>
      <w:tr>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Priya Patel / Dechen Peldon</w:t>
            </w:r>
          </w:p>
        </w:tc>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Administrative Officer</w:t>
            </w:r>
          </w:p>
        </w:tc>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Employee (Appraisee)</w:t>
            </w:r>
          </w:p>
        </w:tc>
        <w:tc>
          <w:tcPr>
            <w:tcW w:type="dxa" w:w="1584"/>
            <w:shd w:fill="F8FAFC"/>
            <w:tcMar>
              <w:top w:w="100" w:type="dxa"/>
              <w:bottom w:w="100" w:type="dxa"/>
              <w:left w:w="150" w:type="dxa"/>
              <w:right w:w="150" w:type="dxa"/>
            </w:tcMar>
          </w:tcPr>
          <w:p>
            <w:pPr>
              <w:spacing w:before="0" w:after="0"/>
              <w:jc w:val="left"/>
            </w:pPr>
            <w:r>
              <w:rPr>
                <w:rFonts w:ascii="Calibri" w:hAnsi="Calibri"/>
                <w:color w:val="334155"/>
                <w:sz w:val="18"/>
              </w:rPr>
              <w:t>OS_ESP</w:t>
            </w:r>
          </w:p>
        </w:tc>
        <w:tc>
          <w:tcPr>
            <w:tcW w:type="dxa" w:w="1584"/>
            <w:shd w:fill="F8FAFC"/>
            <w:tcMar>
              <w:top w:w="100" w:type="dxa"/>
              <w:bottom w:w="100" w:type="dxa"/>
              <w:left w:w="150" w:type="dxa"/>
              <w:right w:w="150" w:type="dxa"/>
            </w:tcMar>
          </w:tcPr>
          <w:p>
            <w:pPr>
              <w:spacing w:before="0" w:after="0"/>
              <w:jc w:val="left"/>
            </w:pPr>
            <w:r>
              <w:rPr>
                <w:rFonts w:ascii="Calibri" w:hAnsi="Calibri"/>
                <w:color w:val="334155"/>
                <w:sz w:val="18"/>
              </w:rPr>
              <w:t>Plan Creator / Submitter</w:t>
            </w:r>
          </w:p>
        </w:tc>
      </w:tr>
      <w:tr>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HR Administrator</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HR Head</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HR Admin / System Manager</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PS_CS</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System Governance</w:t>
            </w:r>
          </w:p>
        </w:tc>
      </w:tr>
    </w:tbl>
    <w:p>
      <w:pPr>
        <w:pStyle w:val="Heading1"/>
        <w:spacing w:before="360" w:after="120"/>
      </w:pPr>
      <w:r>
        <w:rPr>
          <w:rFonts w:ascii="Calibri" w:hAnsi="Calibri"/>
          <w:b/>
          <w:color w:val="0F172A"/>
          <w:sz w:val="30"/>
        </w:rPr>
        <w:t>2. Performance Plan Flow, Lifecycle &amp; Status Specifications</w:t>
      </w:r>
    </w:p>
    <w:p>
      <w:r>
        <w:t>The Performance Plan lifecycle is modeled as a deterministic finite-state machine governed by user roles, mandatory input checkpoints, and strict validation rules. The progression transitions through four distinct stages: Cycle Setup, Goal Setting &amp; Approval, Mid-Year Monitoring, and Final Appraisal.</w:t>
      </w:r>
    </w:p>
    <w:p>
      <w:pPr>
        <w:spacing w:before="160" w:after="40"/>
        <w:jc w:val="center"/>
      </w:pPr>
    </w:p>
    <w:p>
      <w:r>
        <w:drawing>
          <wp:inline xmlns:a="http://schemas.openxmlformats.org/drawingml/2006/main" xmlns:pic="http://schemas.openxmlformats.org/drawingml/2006/picture">
            <wp:extent cx="5943600" cy="3217178"/>
            <wp:docPr id="2" name="Picture 2"/>
            <wp:cNvGraphicFramePr>
              <a:graphicFrameLocks noChangeAspect="1"/>
            </wp:cNvGraphicFramePr>
            <a:graphic>
              <a:graphicData uri="http://schemas.openxmlformats.org/drawingml/2006/picture">
                <pic:pic>
                  <pic:nvPicPr>
                    <pic:cNvPr id="0" name="diag2_performance_plan_flow.png"/>
                    <pic:cNvPicPr/>
                  </pic:nvPicPr>
                  <pic:blipFill>
                    <a:blip r:embed="rId10"/>
                    <a:stretch>
                      <a:fillRect/>
                    </a:stretch>
                  </pic:blipFill>
                  <pic:spPr>
                    <a:xfrm>
                      <a:off x="0" y="0"/>
                      <a:ext cx="5943600" cy="3217178"/>
                    </a:xfrm>
                    <a:prstGeom prst="rect"/>
                  </pic:spPr>
                </pic:pic>
              </a:graphicData>
            </a:graphic>
          </wp:inline>
        </w:drawing>
      </w:r>
    </w:p>
    <w:p>
      <w:pPr>
        <w:spacing w:after="200"/>
        <w:jc w:val="center"/>
      </w:pPr>
      <w:r>
        <w:rPr>
          <w:rFonts w:ascii="Calibri" w:hAnsi="Calibri"/>
          <w:i/>
          <w:color w:val="64748B"/>
          <w:sz w:val="17"/>
        </w:rPr>
        <w:t>Figure 2: Performance Plan End-to-End Approval Lifecycle &amp; Decision Gateway</w:t>
      </w:r>
    </w:p>
    <w:p>
      <w:pPr>
        <w:pStyle w:val="Heading2"/>
        <w:spacing w:before="240" w:after="80"/>
      </w:pPr>
      <w:r>
        <w:rPr>
          <w:rFonts w:ascii="Calibri" w:hAnsi="Calibri"/>
          <w:b/>
          <w:color w:val="1E293B"/>
          <w:sz w:val="25"/>
        </w:rPr>
        <w:t>2.1 Detailed Status Transition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872"/>
            <w:shd w:fill="1E3A8A"/>
            <w:tcMar>
              <w:top w:w="140" w:type="dxa"/>
              <w:bottom w:w="140" w:type="dxa"/>
              <w:left w:w="160" w:type="dxa"/>
              <w:right w:w="160" w:type="dxa"/>
            </w:tcMar>
          </w:tcPr>
          <w:p>
            <w:pPr>
              <w:spacing w:before="0" w:after="0"/>
              <w:jc w:val="left"/>
            </w:pPr>
            <w:r>
              <w:rPr>
                <w:rFonts w:ascii="Calibri" w:hAnsi="Calibri"/>
                <w:b/>
                <w:color w:val="FFFFFF"/>
                <w:sz w:val="19"/>
              </w:rPr>
              <w:t>Plan Status</w:t>
            </w:r>
          </w:p>
        </w:tc>
        <w:tc>
          <w:tcPr>
            <w:tcW w:type="dxa" w:w="1584"/>
            <w:shd w:fill="1E3A8A"/>
            <w:tcMar>
              <w:top w:w="140" w:type="dxa"/>
              <w:bottom w:w="140" w:type="dxa"/>
              <w:left w:w="160" w:type="dxa"/>
              <w:right w:w="160" w:type="dxa"/>
            </w:tcMar>
          </w:tcPr>
          <w:p>
            <w:pPr>
              <w:spacing w:before="0" w:after="0"/>
              <w:jc w:val="left"/>
            </w:pPr>
            <w:r>
              <w:rPr>
                <w:rFonts w:ascii="Calibri" w:hAnsi="Calibri"/>
                <w:b/>
                <w:color w:val="FFFFFF"/>
                <w:sz w:val="19"/>
              </w:rPr>
              <w:t>Workflow State</w:t>
            </w:r>
          </w:p>
        </w:tc>
        <w:tc>
          <w:tcPr>
            <w:tcW w:type="dxa" w:w="2016"/>
            <w:shd w:fill="1E3A8A"/>
            <w:tcMar>
              <w:top w:w="140" w:type="dxa"/>
              <w:bottom w:w="140" w:type="dxa"/>
              <w:left w:w="160" w:type="dxa"/>
              <w:right w:w="160" w:type="dxa"/>
            </w:tcMar>
          </w:tcPr>
          <w:p>
            <w:pPr>
              <w:spacing w:before="0" w:after="0"/>
              <w:jc w:val="left"/>
            </w:pPr>
            <w:r>
              <w:rPr>
                <w:rFonts w:ascii="Calibri" w:hAnsi="Calibri"/>
                <w:b/>
                <w:color w:val="FFFFFF"/>
                <w:sz w:val="19"/>
              </w:rPr>
              <w:t>Authorized Actor</w:t>
            </w:r>
          </w:p>
        </w:tc>
        <w:tc>
          <w:tcPr>
            <w:tcW w:type="dxa" w:w="2160"/>
            <w:shd w:fill="1E3A8A"/>
            <w:tcMar>
              <w:top w:w="140" w:type="dxa"/>
              <w:bottom w:w="140" w:type="dxa"/>
              <w:left w:w="160" w:type="dxa"/>
              <w:right w:w="160" w:type="dxa"/>
            </w:tcMar>
          </w:tcPr>
          <w:p>
            <w:pPr>
              <w:spacing w:before="0" w:after="0"/>
              <w:jc w:val="left"/>
            </w:pPr>
            <w:r>
              <w:rPr>
                <w:rFonts w:ascii="Calibri" w:hAnsi="Calibri"/>
                <w:b/>
                <w:color w:val="FFFFFF"/>
                <w:sz w:val="19"/>
              </w:rPr>
              <w:t>Trigger Action / Event</w:t>
            </w:r>
          </w:p>
        </w:tc>
        <w:tc>
          <w:tcPr>
            <w:tcW w:type="dxa" w:w="1728"/>
            <w:shd w:fill="1E3A8A"/>
            <w:tcMar>
              <w:top w:w="140" w:type="dxa"/>
              <w:bottom w:w="140" w:type="dxa"/>
              <w:left w:w="160" w:type="dxa"/>
              <w:right w:w="160" w:type="dxa"/>
            </w:tcMar>
          </w:tcPr>
          <w:p>
            <w:pPr>
              <w:spacing w:before="0" w:after="0"/>
              <w:jc w:val="left"/>
            </w:pPr>
            <w:r>
              <w:rPr>
                <w:rFonts w:ascii="Calibri" w:hAnsi="Calibri"/>
                <w:b/>
                <w:color w:val="FFFFFF"/>
                <w:sz w:val="19"/>
              </w:rPr>
              <w:t>Target System State</w:t>
            </w:r>
          </w:p>
        </w:tc>
      </w:tr>
      <w:tr>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Draft</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Planning Open</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Employee</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Save / Create Document</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Editable by Employee only; weights must equal 50/60%.</w:t>
            </w:r>
          </w:p>
        </w:tc>
      </w:tr>
      <w:tr>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Pending Supervisor Approval</w:t>
            </w:r>
          </w:p>
        </w:tc>
        <w:tc>
          <w:tcPr>
            <w:tcW w:type="dxa" w:w="1584"/>
            <w:shd w:fill="F8FAFC"/>
            <w:tcMar>
              <w:top w:w="100" w:type="dxa"/>
              <w:bottom w:w="100" w:type="dxa"/>
              <w:left w:w="150" w:type="dxa"/>
              <w:right w:w="150" w:type="dxa"/>
            </w:tcMar>
          </w:tcPr>
          <w:p>
            <w:pPr>
              <w:spacing w:before="0" w:after="0"/>
              <w:jc w:val="left"/>
            </w:pPr>
            <w:r>
              <w:rPr>
                <w:rFonts w:ascii="Calibri" w:hAnsi="Calibri"/>
                <w:color w:val="334155"/>
                <w:sz w:val="18"/>
              </w:rPr>
              <w:t>Planning Open</w:t>
            </w:r>
          </w:p>
        </w:tc>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Employee</w:t>
            </w:r>
          </w:p>
        </w:tc>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Click 'Send for Approval'</w:t>
            </w:r>
          </w:p>
        </w:tc>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Locked for Employee; action buttons shown to Supervisor only.</w:t>
            </w:r>
          </w:p>
        </w:tc>
      </w:tr>
      <w:tr>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Pending Reviewer Approval</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Planning Open</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Supervisor</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Click 'Approve' (Supervisor)</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Routed to Reviewer for secondary check; Supervisor locked.</w:t>
            </w:r>
          </w:p>
        </w:tc>
      </w:tr>
      <w:tr>
        <w:tc>
          <w:tcPr>
            <w:tcW w:type="dxa" w:w="1872"/>
            <w:shd w:fill="F8FAFC"/>
            <w:tcMar>
              <w:top w:w="100" w:type="dxa"/>
              <w:bottom w:w="100" w:type="dxa"/>
              <w:left w:w="150" w:type="dxa"/>
              <w:right w:w="150" w:type="dxa"/>
            </w:tcMar>
          </w:tcPr>
          <w:p>
            <w:pPr>
              <w:spacing w:before="0" w:after="0"/>
              <w:jc w:val="left"/>
            </w:pPr>
            <w:r>
              <w:rPr>
                <w:rFonts w:ascii="Calibri" w:hAnsi="Calibri"/>
                <w:color w:val="334155"/>
                <w:sz w:val="18"/>
              </w:rPr>
              <w:t>Approved</w:t>
            </w:r>
          </w:p>
        </w:tc>
        <w:tc>
          <w:tcPr>
            <w:tcW w:type="dxa" w:w="1584"/>
            <w:shd w:fill="F8FAFC"/>
            <w:tcMar>
              <w:top w:w="100" w:type="dxa"/>
              <w:bottom w:w="100" w:type="dxa"/>
              <w:left w:w="150" w:type="dxa"/>
              <w:right w:w="150" w:type="dxa"/>
            </w:tcMar>
          </w:tcPr>
          <w:p>
            <w:pPr>
              <w:spacing w:before="0" w:after="0"/>
              <w:jc w:val="left"/>
            </w:pPr>
            <w:r>
              <w:rPr>
                <w:rFonts w:ascii="Calibri" w:hAnsi="Calibri"/>
                <w:color w:val="334155"/>
                <w:sz w:val="18"/>
              </w:rPr>
              <w:t>Monitoring</w:t>
            </w:r>
          </w:p>
        </w:tc>
        <w:tc>
          <w:tcPr>
            <w:tcW w:type="dxa" w:w="2016"/>
            <w:shd w:fill="F8FAFC"/>
            <w:tcMar>
              <w:top w:w="100" w:type="dxa"/>
              <w:bottom w:w="100" w:type="dxa"/>
              <w:left w:w="150" w:type="dxa"/>
              <w:right w:w="150" w:type="dxa"/>
            </w:tcMar>
          </w:tcPr>
          <w:p>
            <w:pPr>
              <w:spacing w:before="0" w:after="0"/>
              <w:jc w:val="left"/>
            </w:pPr>
            <w:r>
              <w:rPr>
                <w:rFonts w:ascii="Calibri" w:hAnsi="Calibri"/>
                <w:color w:val="334155"/>
                <w:sz w:val="18"/>
              </w:rPr>
              <w:t>Reviewer / Supervisor</w:t>
            </w:r>
          </w:p>
        </w:tc>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Click 'Approve' (Reviewer)</w:t>
            </w:r>
          </w:p>
        </w:tc>
        <w:tc>
          <w:tcPr>
            <w:tcW w:type="dxa" w:w="1728"/>
            <w:shd w:fill="F8FAFC"/>
            <w:tcMar>
              <w:top w:w="100" w:type="dxa"/>
              <w:bottom w:w="100" w:type="dxa"/>
              <w:left w:w="150" w:type="dxa"/>
              <w:right w:w="150" w:type="dxa"/>
            </w:tcMar>
          </w:tcPr>
          <w:p>
            <w:pPr>
              <w:spacing w:before="0" w:after="0"/>
              <w:jc w:val="left"/>
            </w:pPr>
            <w:r>
              <w:rPr>
                <w:rFonts w:ascii="Calibri" w:hAnsi="Calibri"/>
                <w:color w:val="334155"/>
                <w:sz w:val="18"/>
              </w:rPr>
              <w:t>Live targets locked at DB level; workflow state becomes 'Monitoring'.</w:t>
            </w:r>
          </w:p>
        </w:tc>
      </w:tr>
      <w:tr>
        <w:tc>
          <w:tcPr>
            <w:tcW w:type="dxa" w:w="1872"/>
            <w:shd w:fill="FFFFFF"/>
            <w:tcMar>
              <w:top w:w="100" w:type="dxa"/>
              <w:bottom w:w="100" w:type="dxa"/>
              <w:left w:w="150" w:type="dxa"/>
              <w:right w:w="150" w:type="dxa"/>
            </w:tcMar>
          </w:tcPr>
          <w:p>
            <w:pPr>
              <w:spacing w:before="0" w:after="0"/>
              <w:jc w:val="left"/>
            </w:pPr>
            <w:r>
              <w:rPr>
                <w:rFonts w:ascii="Calibri" w:hAnsi="Calibri"/>
                <w:color w:val="334155"/>
                <w:sz w:val="18"/>
              </w:rPr>
              <w:t>Rejected</w:t>
            </w:r>
          </w:p>
        </w:tc>
        <w:tc>
          <w:tcPr>
            <w:tcW w:type="dxa" w:w="1584"/>
            <w:shd w:fill="FFFFFF"/>
            <w:tcMar>
              <w:top w:w="100" w:type="dxa"/>
              <w:bottom w:w="100" w:type="dxa"/>
              <w:left w:w="150" w:type="dxa"/>
              <w:right w:w="150" w:type="dxa"/>
            </w:tcMar>
          </w:tcPr>
          <w:p>
            <w:pPr>
              <w:spacing w:before="0" w:after="0"/>
              <w:jc w:val="left"/>
            </w:pPr>
            <w:r>
              <w:rPr>
                <w:rFonts w:ascii="Calibri" w:hAnsi="Calibri"/>
                <w:color w:val="334155"/>
                <w:sz w:val="18"/>
              </w:rPr>
              <w:t>Planning Open</w:t>
            </w:r>
          </w:p>
        </w:tc>
        <w:tc>
          <w:tcPr>
            <w:tcW w:type="dxa" w:w="2016"/>
            <w:shd w:fill="FFFFFF"/>
            <w:tcMar>
              <w:top w:w="100" w:type="dxa"/>
              <w:bottom w:w="100" w:type="dxa"/>
              <w:left w:w="150" w:type="dxa"/>
              <w:right w:w="150" w:type="dxa"/>
            </w:tcMar>
          </w:tcPr>
          <w:p>
            <w:pPr>
              <w:spacing w:before="0" w:after="0"/>
              <w:jc w:val="left"/>
            </w:pPr>
            <w:r>
              <w:rPr>
                <w:rFonts w:ascii="Calibri" w:hAnsi="Calibri"/>
                <w:color w:val="334155"/>
                <w:sz w:val="18"/>
              </w:rPr>
              <w:t>Supervisor / Reviewer</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Click 'Reject' with Remark</w:t>
            </w:r>
          </w:p>
        </w:tc>
        <w:tc>
          <w:tcPr>
            <w:tcW w:type="dxa" w:w="1728"/>
            <w:shd w:fill="FFFFFF"/>
            <w:tcMar>
              <w:top w:w="100" w:type="dxa"/>
              <w:bottom w:w="100" w:type="dxa"/>
              <w:left w:w="150" w:type="dxa"/>
              <w:right w:w="150" w:type="dxa"/>
            </w:tcMar>
          </w:tcPr>
          <w:p>
            <w:pPr>
              <w:spacing w:before="0" w:after="0"/>
              <w:jc w:val="left"/>
            </w:pPr>
            <w:r>
              <w:rPr>
                <w:rFonts w:ascii="Calibri" w:hAnsi="Calibri"/>
                <w:color w:val="334155"/>
                <w:sz w:val="18"/>
              </w:rPr>
              <w:t>Returned to Employee; rejection remark displayed prominently in banner.</w:t>
            </w:r>
          </w:p>
        </w:tc>
      </w:tr>
    </w:tbl>
    <w:p>
      <w:pPr>
        <w:spacing w:after="120"/>
      </w:pPr>
    </w:p>
    <w:p>
      <w:pPr>
        <w:pStyle w:val="Heading2"/>
        <w:spacing w:before="240" w:after="80"/>
      </w:pPr>
      <w:r>
        <w:rPr>
          <w:rFonts w:ascii="Calibri" w:hAnsi="Calibri"/>
          <w:b/>
          <w:color w:val="1E293B"/>
          <w:sz w:val="25"/>
        </w:rPr>
        <w:t>2.2 Step-by-Step Operational Lifecycle</w:t>
      </w:r>
    </w:p>
    <w:p>
      <w:pPr>
        <w:spacing w:before="80" w:after="40"/>
      </w:pPr>
      <w:r>
        <w:rPr>
          <w:b/>
          <w:color w:val="0F172A"/>
        </w:rPr>
        <w:t xml:space="preserve">• Phase 1: Appraisal Cycle Initialization (HR Admin): </w:t>
      </w:r>
      <w:r>
        <w:t>The HR Admin creates an appraisal cycle record (e.g., 'PMS Cycle 2026-2027') specifying the start date, end date, and applicable grade group. When the cycle is transitioned to 'Active' or 'Planning Open', the system triggers an automatic sync populating all active employees into the cycle's tracking registry with their assigned supervisors and reviewers.</w:t>
      </w:r>
    </w:p>
    <w:p>
      <w:pPr>
        <w:spacing w:before="80" w:after="40"/>
      </w:pPr>
      <w:r>
        <w:rPr>
          <w:b/>
          <w:color w:val="0F172A"/>
        </w:rPr>
        <w:t xml:space="preserve">• Phase 2: Performance Plan Drafting (Employee): </w:t>
      </w:r>
      <w:r>
        <w:t>The employee accesses their PMS Employee portal and initiates a new Performance Plan. The system automatically fetches employee profile metadata, links the active cycle, snapshots the supervisor/reviewer names, and populates the default competencies. The employee adds work targets ensuring the total weight matches exactly 60% (for PS) or 50% (for OS).</w:t>
      </w:r>
    </w:p>
    <w:p>
      <w:pPr>
        <w:spacing w:before="80" w:after="40"/>
      </w:pPr>
      <w:r>
        <w:rPr>
          <w:b/>
          <w:color w:val="0F172A"/>
        </w:rPr>
        <w:t xml:space="preserve">• Phase 3: Level 1 Review &amp; Decision (Supervisor 1): </w:t>
      </w:r>
      <w:r>
        <w:t>Upon submission, the plan status changes to 'Pending Supervisor Approval'. The line manager accesses their supervisor dashboard. The supervisor inspects target descriptions and weight distributions. The supervisor may either Approve (routing to Reviewer) or Reject (which mandates entering a rejection remark, reverting the document to 'Rejected' for employee revision).</w:t>
      </w:r>
    </w:p>
    <w:p>
      <w:pPr>
        <w:spacing w:before="80" w:after="40"/>
      </w:pPr>
      <w:r>
        <w:rPr>
          <w:b/>
          <w:color w:val="0F172A"/>
        </w:rPr>
        <w:t xml:space="preserve">• Phase 4: Level 2 Review &amp; Authorization (Reviewer): </w:t>
      </w:r>
      <w:r>
        <w:t>The Reviewer (VP or Department Head) conducts final executive review. Upon clicking 'Approve', the plan status becomes 'Approved' and the workflow state switches to 'Monitoring'. At this precise moment, targets become legally binding and immutable.</w:t>
      </w:r>
    </w:p>
    <w:p>
      <w:pPr>
        <w:pStyle w:val="Heading1"/>
        <w:spacing w:before="360" w:after="120"/>
      </w:pPr>
      <w:r>
        <w:rPr>
          <w:rFonts w:ascii="Calibri" w:hAnsi="Calibri"/>
          <w:b/>
          <w:color w:val="0F172A"/>
          <w:sz w:val="30"/>
        </w:rPr>
        <w:t>3. Mid-Year Monitoring &amp; Plan Amendment Protocol</w:t>
      </w:r>
    </w:p>
    <w:p>
      <w:r>
        <w:t>In dynamic business environments, operational priorities, project scope, or government directives may shift mid-way through an appraisal year. Rather than allowing unmonitored edits or resetting the appraisal, GDL PMS implements a rigorous Plan Amendment subsystem governed by HR policy controls.</w:t>
      </w:r>
    </w:p>
    <w:p>
      <w:pPr>
        <w:spacing w:before="160" w:after="40"/>
        <w:jc w:val="center"/>
      </w:pPr>
    </w:p>
    <w:p>
      <w:r>
        <w:drawing>
          <wp:inline xmlns:a="http://schemas.openxmlformats.org/drawingml/2006/main" xmlns:pic="http://schemas.openxmlformats.org/drawingml/2006/picture">
            <wp:extent cx="5943600" cy="3241964"/>
            <wp:docPr id="3" name="Picture 3"/>
            <wp:cNvGraphicFramePr>
              <a:graphicFrameLocks noChangeAspect="1"/>
            </wp:cNvGraphicFramePr>
            <a:graphic>
              <a:graphicData uri="http://schemas.openxmlformats.org/drawingml/2006/picture">
                <pic:pic>
                  <pic:nvPicPr>
                    <pic:cNvPr id="0" name="diag3_amendment_flow.png"/>
                    <pic:cNvPicPr/>
                  </pic:nvPicPr>
                  <pic:blipFill>
                    <a:blip r:embed="rId11"/>
                    <a:stretch>
                      <a:fillRect/>
                    </a:stretch>
                  </pic:blipFill>
                  <pic:spPr>
                    <a:xfrm>
                      <a:off x="0" y="0"/>
                      <a:ext cx="5943600" cy="3241964"/>
                    </a:xfrm>
                    <a:prstGeom prst="rect"/>
                  </pic:spPr>
                </pic:pic>
              </a:graphicData>
            </a:graphic>
          </wp:inline>
        </w:drawing>
      </w:r>
    </w:p>
    <w:p>
      <w:pPr>
        <w:spacing w:after="200"/>
        <w:jc w:val="center"/>
      </w:pPr>
      <w:r>
        <w:rPr>
          <w:rFonts w:ascii="Calibri" w:hAnsi="Calibri"/>
          <w:i/>
          <w:color w:val="64748B"/>
          <w:sz w:val="17"/>
        </w:rPr>
        <w:t>Figure 3: Mid-Year Plan Amendment Lifecycle, Window Check &amp; Atomic Target Update</w:t>
      </w:r>
    </w:p>
    <w:p>
      <w:pPr>
        <w:pStyle w:val="Heading2"/>
        <w:spacing w:before="240" w:after="80"/>
      </w:pPr>
      <w:r>
        <w:rPr>
          <w:rFonts w:ascii="Calibri" w:hAnsi="Calibri"/>
          <w:b/>
          <w:color w:val="1E293B"/>
          <w:sz w:val="25"/>
        </w:rPr>
        <w:t>3.1 Key Technical Rules of Plan Amendment</w:t>
      </w:r>
    </w:p>
    <w:p>
      <w:pPr>
        <w:spacing w:before="60" w:after="40"/>
      </w:pPr>
      <w:r>
        <w:rPr>
          <w:b/>
          <w:color w:val="0F172A"/>
        </w:rPr>
        <w:t xml:space="preserve">1. HR Window Control: </w:t>
      </w:r>
      <w:r>
        <w:t>The 'Request Amendment' action button is only visible when HR has toggled 'amendment_window_open = 1' on the Appraisal Cycle.</w:t>
      </w:r>
    </w:p>
    <w:p>
      <w:pPr>
        <w:spacing w:before="60" w:after="40"/>
      </w:pPr>
      <w:r>
        <w:rPr>
          <w:b/>
          <w:color w:val="0F172A"/>
        </w:rPr>
        <w:t xml:space="preserve">• Immutable Parent Plan: </w:t>
      </w:r>
      <w:r>
        <w:t>Direct modifications to `tabPMS Target` rows on an Approved plan are completely prohibited in Python validation.</w:t>
      </w:r>
    </w:p>
    <w:p>
      <w:pPr>
        <w:spacing w:before="60" w:after="40"/>
      </w:pPr>
      <w:r>
        <w:rPr>
          <w:b/>
          <w:color w:val="0F172A"/>
        </w:rPr>
        <w:t xml:space="preserve">• Historical Target Snapshot: </w:t>
      </w:r>
      <w:r>
        <w:t>When an amendment is created, existing targets are converted to a JSON snapshot in `previous_targets` for complete historical audit.</w:t>
      </w:r>
    </w:p>
    <w:p>
      <w:pPr>
        <w:spacing w:before="60" w:after="40"/>
      </w:pPr>
      <w:r>
        <w:rPr>
          <w:b/>
          <w:color w:val="0F172A"/>
        </w:rPr>
        <w:t xml:space="preserve">• Auto-Increment Versioning: </w:t>
      </w:r>
      <w:r>
        <w:t>Each amendment for a plan is assigned an auto-incrementing `amendment_number` (1, 2, 3...) per appraisal.</w:t>
      </w:r>
    </w:p>
    <w:p>
      <w:pPr>
        <w:spacing w:before="60" w:after="40"/>
      </w:pPr>
      <w:r>
        <w:rPr>
          <w:b/>
          <w:color w:val="0F172A"/>
        </w:rPr>
        <w:t xml:space="preserve">• Approval Route: </w:t>
      </w:r>
      <w:r>
        <w:t>The amendment traverses Employee Submit -&gt; Supervisor Approval -&gt; Reviewer Approval.</w:t>
      </w:r>
    </w:p>
    <w:p>
      <w:pPr>
        <w:spacing w:before="60" w:after="40"/>
      </w:pPr>
      <w:r>
        <w:rPr>
          <w:b/>
          <w:color w:val="0F172A"/>
        </w:rPr>
        <w:t xml:space="preserve">• Atomic In-Place Replacement: </w:t>
      </w:r>
      <w:r>
        <w:t>Upon final Reviewer approval, the method `apply_amendment_to_plan()` replaces parent targets with `revised_targets` without altering the parent document's 'Approved' status or 'Monitoring' workflow state.</w:t>
      </w:r>
    </w:p>
    <w:p>
      <w:pPr>
        <w:pStyle w:val="Heading1"/>
        <w:spacing w:before="360" w:after="120"/>
      </w:pPr>
      <w:r>
        <w:rPr>
          <w:rFonts w:ascii="Calibri" w:hAnsi="Calibri"/>
          <w:b/>
          <w:color w:val="0F172A"/>
          <w:sz w:val="30"/>
        </w:rPr>
        <w:t>4. Data Architecture, Scoring Engine &amp; Governance</w:t>
      </w:r>
    </w:p>
    <w:p>
      <w:r>
        <w:t>The underlying database schema balances real-time referential integrity with immutable point-in-time snapshots. The scoring engine aggregates work results and behavioral ratings, automatically mapping numerical scores to statutory rating bands.</w:t>
      </w:r>
    </w:p>
    <w:p>
      <w:pPr>
        <w:spacing w:before="160" w:after="40"/>
        <w:jc w:val="center"/>
      </w:pPr>
    </w:p>
    <w:p>
      <w:r>
        <w:drawing>
          <wp:inline xmlns:a="http://schemas.openxmlformats.org/drawingml/2006/main" xmlns:pic="http://schemas.openxmlformats.org/drawingml/2006/picture">
            <wp:extent cx="5943600" cy="3542145"/>
            <wp:docPr id="4" name="Picture 4"/>
            <wp:cNvGraphicFramePr>
              <a:graphicFrameLocks noChangeAspect="1"/>
            </wp:cNvGraphicFramePr>
            <a:graphic>
              <a:graphicData uri="http://schemas.openxmlformats.org/drawingml/2006/picture">
                <pic:pic>
                  <pic:nvPicPr>
                    <pic:cNvPr id="0" name="diag4_architecture_er.png"/>
                    <pic:cNvPicPr/>
                  </pic:nvPicPr>
                  <pic:blipFill>
                    <a:blip r:embed="rId12"/>
                    <a:stretch>
                      <a:fillRect/>
                    </a:stretch>
                  </pic:blipFill>
                  <pic:spPr>
                    <a:xfrm>
                      <a:off x="0" y="0"/>
                      <a:ext cx="5943600" cy="3542145"/>
                    </a:xfrm>
                    <a:prstGeom prst="rect"/>
                  </pic:spPr>
                </pic:pic>
              </a:graphicData>
            </a:graphic>
          </wp:inline>
        </w:drawing>
      </w:r>
    </w:p>
    <w:p>
      <w:pPr>
        <w:spacing w:after="200"/>
        <w:jc w:val="center"/>
      </w:pPr>
      <w:r>
        <w:rPr>
          <w:rFonts w:ascii="Calibri" w:hAnsi="Calibri"/>
          <w:i/>
          <w:color w:val="64748B"/>
          <w:sz w:val="17"/>
        </w:rPr>
        <w:t>Figure 4: Core Entity-Relationship Diagram and DocType Architecture</w:t>
      </w:r>
    </w:p>
    <w:p>
      <w:pPr>
        <w:pStyle w:val="Heading2"/>
        <w:spacing w:before="240" w:after="80"/>
      </w:pPr>
      <w:r>
        <w:rPr>
          <w:rFonts w:ascii="Calibri" w:hAnsi="Calibri"/>
          <w:b/>
          <w:color w:val="1E293B"/>
          <w:sz w:val="25"/>
        </w:rPr>
        <w:t>4.1 Statutory Rating Bands &amp; PIP Triggers</w:t>
      </w:r>
    </w:p>
    <w:tbl>
      <w:tblPr>
        <w:tblW w:type="auto" w:w="0"/>
        <w:jc w:val="center"/>
        <w:tblLook w:firstColumn="1" w:firstRow="1" w:lastColumn="0" w:lastRow="0" w:noHBand="0" w:noVBand="1" w:val="04A0"/>
      </w:tblPr>
      <w:tblGrid>
        <w:gridCol w:w="2484"/>
        <w:gridCol w:w="2484"/>
        <w:gridCol w:w="2484"/>
        <w:gridCol w:w="2484"/>
      </w:tblGrid>
      <w:tr>
        <w:tc>
          <w:tcPr>
            <w:tcW w:type="dxa" w:w="2160"/>
            <w:shd w:fill="0F172A"/>
            <w:tcMar>
              <w:top w:w="140" w:type="dxa"/>
              <w:bottom w:w="140" w:type="dxa"/>
              <w:left w:w="160" w:type="dxa"/>
              <w:right w:w="160" w:type="dxa"/>
            </w:tcMar>
          </w:tcPr>
          <w:p>
            <w:pPr>
              <w:spacing w:before="0" w:after="0"/>
              <w:jc w:val="left"/>
            </w:pPr>
            <w:r>
              <w:rPr>
                <w:rFonts w:ascii="Calibri" w:hAnsi="Calibri"/>
                <w:b/>
                <w:color w:val="FFFFFF"/>
                <w:sz w:val="19"/>
              </w:rPr>
              <w:t>Score Range</w:t>
            </w:r>
          </w:p>
        </w:tc>
        <w:tc>
          <w:tcPr>
            <w:tcW w:type="dxa" w:w="2592"/>
            <w:shd w:fill="0F172A"/>
            <w:tcMar>
              <w:top w:w="140" w:type="dxa"/>
              <w:bottom w:w="140" w:type="dxa"/>
              <w:left w:w="160" w:type="dxa"/>
              <w:right w:w="160" w:type="dxa"/>
            </w:tcMar>
          </w:tcPr>
          <w:p>
            <w:pPr>
              <w:spacing w:before="0" w:after="0"/>
              <w:jc w:val="left"/>
            </w:pPr>
            <w:r>
              <w:rPr>
                <w:rFonts w:ascii="Calibri" w:hAnsi="Calibri"/>
                <w:b/>
                <w:color w:val="FFFFFF"/>
                <w:sz w:val="19"/>
              </w:rPr>
              <w:t>Performance Rating Band</w:t>
            </w:r>
          </w:p>
        </w:tc>
        <w:tc>
          <w:tcPr>
            <w:tcW w:type="dxa" w:w="2160"/>
            <w:shd w:fill="0F172A"/>
            <w:tcMar>
              <w:top w:w="140" w:type="dxa"/>
              <w:bottom w:w="140" w:type="dxa"/>
              <w:left w:w="160" w:type="dxa"/>
              <w:right w:w="160" w:type="dxa"/>
            </w:tcMar>
          </w:tcPr>
          <w:p>
            <w:pPr>
              <w:spacing w:before="0" w:after="0"/>
              <w:jc w:val="left"/>
            </w:pPr>
            <w:r>
              <w:rPr>
                <w:rFonts w:ascii="Calibri" w:hAnsi="Calibri"/>
                <w:b/>
                <w:color w:val="FFFFFF"/>
                <w:sz w:val="19"/>
              </w:rPr>
              <w:t>Performance Level</w:t>
            </w:r>
          </w:p>
        </w:tc>
        <w:tc>
          <w:tcPr>
            <w:tcW w:type="dxa" w:w="2448"/>
            <w:shd w:fill="0F172A"/>
            <w:tcMar>
              <w:top w:w="140" w:type="dxa"/>
              <w:bottom w:w="140" w:type="dxa"/>
              <w:left w:w="160" w:type="dxa"/>
              <w:right w:w="160" w:type="dxa"/>
            </w:tcMar>
          </w:tcPr>
          <w:p>
            <w:pPr>
              <w:spacing w:before="0" w:after="0"/>
              <w:jc w:val="left"/>
            </w:pPr>
            <w:r>
              <w:rPr>
                <w:rFonts w:ascii="Calibri" w:hAnsi="Calibri"/>
                <w:b/>
                <w:color w:val="FFFFFF"/>
                <w:sz w:val="19"/>
              </w:rPr>
              <w:t>System Trigger / Consequence</w:t>
            </w:r>
          </w:p>
        </w:tc>
      </w:tr>
      <w:tr>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90.00% - 100.00%</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Outstanding Performance</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Level 5 (Top Performer)</w:t>
            </w:r>
          </w:p>
        </w:tc>
        <w:tc>
          <w:tcPr>
            <w:tcW w:type="dxa" w:w="2448"/>
            <w:shd w:fill="FFFFFF"/>
            <w:tcMar>
              <w:top w:w="100" w:type="dxa"/>
              <w:bottom w:w="100" w:type="dxa"/>
              <w:left w:w="150" w:type="dxa"/>
              <w:right w:w="150" w:type="dxa"/>
            </w:tcMar>
          </w:tcPr>
          <w:p>
            <w:pPr>
              <w:spacing w:before="0" w:after="0"/>
              <w:jc w:val="left"/>
            </w:pPr>
            <w:r>
              <w:rPr>
                <w:rFonts w:ascii="Calibri" w:hAnsi="Calibri"/>
                <w:color w:val="334155"/>
                <w:sz w:val="18"/>
              </w:rPr>
              <w:t>Eligible for fast-track increment &amp; honors</w:t>
            </w:r>
          </w:p>
        </w:tc>
      </w:tr>
      <w:tr>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80.00% - 89.99%</w:t>
            </w:r>
          </w:p>
        </w:tc>
        <w:tc>
          <w:tcPr>
            <w:tcW w:type="dxa" w:w="2592"/>
            <w:shd w:fill="F8FAFC"/>
            <w:tcMar>
              <w:top w:w="100" w:type="dxa"/>
              <w:bottom w:w="100" w:type="dxa"/>
              <w:left w:w="150" w:type="dxa"/>
              <w:right w:w="150" w:type="dxa"/>
            </w:tcMar>
          </w:tcPr>
          <w:p>
            <w:pPr>
              <w:spacing w:before="0" w:after="0"/>
              <w:jc w:val="left"/>
            </w:pPr>
            <w:r>
              <w:rPr>
                <w:rFonts w:ascii="Calibri" w:hAnsi="Calibri"/>
                <w:color w:val="334155"/>
                <w:sz w:val="18"/>
              </w:rPr>
              <w:t>Exceeds Expectations</w:t>
            </w:r>
          </w:p>
        </w:tc>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Level 4 (Superior)</w:t>
            </w:r>
          </w:p>
        </w:tc>
        <w:tc>
          <w:tcPr>
            <w:tcW w:type="dxa" w:w="2448"/>
            <w:shd w:fill="F8FAFC"/>
            <w:tcMar>
              <w:top w:w="100" w:type="dxa"/>
              <w:bottom w:w="100" w:type="dxa"/>
              <w:left w:w="150" w:type="dxa"/>
              <w:right w:w="150" w:type="dxa"/>
            </w:tcMar>
          </w:tcPr>
          <w:p>
            <w:pPr>
              <w:spacing w:before="0" w:after="0"/>
              <w:jc w:val="left"/>
            </w:pPr>
            <w:r>
              <w:rPr>
                <w:rFonts w:ascii="Calibri" w:hAnsi="Calibri"/>
                <w:color w:val="334155"/>
                <w:sz w:val="18"/>
              </w:rPr>
              <w:t>Standard merit increment &amp; promotion consideration</w:t>
            </w:r>
          </w:p>
        </w:tc>
      </w:tr>
      <w:tr>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70.00% - 79.99%</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Meets Expectations</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Level 3 (Competent)</w:t>
            </w:r>
          </w:p>
        </w:tc>
        <w:tc>
          <w:tcPr>
            <w:tcW w:type="dxa" w:w="2448"/>
            <w:shd w:fill="FFFFFF"/>
            <w:tcMar>
              <w:top w:w="100" w:type="dxa"/>
              <w:bottom w:w="100" w:type="dxa"/>
              <w:left w:w="150" w:type="dxa"/>
              <w:right w:w="150" w:type="dxa"/>
            </w:tcMar>
          </w:tcPr>
          <w:p>
            <w:pPr>
              <w:spacing w:before="0" w:after="0"/>
              <w:jc w:val="left"/>
            </w:pPr>
            <w:r>
              <w:rPr>
                <w:rFonts w:ascii="Calibri" w:hAnsi="Calibri"/>
                <w:color w:val="334155"/>
                <w:sz w:val="18"/>
              </w:rPr>
              <w:t>Standard annual increment eligible</w:t>
            </w:r>
          </w:p>
        </w:tc>
      </w:tr>
      <w:tr>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60.00% - 69.99%</w:t>
            </w:r>
          </w:p>
        </w:tc>
        <w:tc>
          <w:tcPr>
            <w:tcW w:type="dxa" w:w="2592"/>
            <w:shd w:fill="F8FAFC"/>
            <w:tcMar>
              <w:top w:w="100" w:type="dxa"/>
              <w:bottom w:w="100" w:type="dxa"/>
              <w:left w:w="150" w:type="dxa"/>
              <w:right w:w="150" w:type="dxa"/>
            </w:tcMar>
          </w:tcPr>
          <w:p>
            <w:pPr>
              <w:spacing w:before="0" w:after="0"/>
              <w:jc w:val="left"/>
            </w:pPr>
            <w:r>
              <w:rPr>
                <w:rFonts w:ascii="Calibri" w:hAnsi="Calibri"/>
                <w:color w:val="334155"/>
                <w:sz w:val="18"/>
              </w:rPr>
              <w:t>Needs Improvement</w:t>
            </w:r>
          </w:p>
        </w:tc>
        <w:tc>
          <w:tcPr>
            <w:tcW w:type="dxa" w:w="2160"/>
            <w:shd w:fill="F8FAFC"/>
            <w:tcMar>
              <w:top w:w="100" w:type="dxa"/>
              <w:bottom w:w="100" w:type="dxa"/>
              <w:left w:w="150" w:type="dxa"/>
              <w:right w:w="150" w:type="dxa"/>
            </w:tcMar>
          </w:tcPr>
          <w:p>
            <w:pPr>
              <w:spacing w:before="0" w:after="0"/>
              <w:jc w:val="left"/>
            </w:pPr>
            <w:r>
              <w:rPr>
                <w:rFonts w:ascii="Calibri" w:hAnsi="Calibri"/>
                <w:color w:val="334155"/>
                <w:sz w:val="18"/>
              </w:rPr>
              <w:t>Level 2 (Marginal)</w:t>
            </w:r>
          </w:p>
        </w:tc>
        <w:tc>
          <w:tcPr>
            <w:tcW w:type="dxa" w:w="2448"/>
            <w:shd w:fill="F8FAFC"/>
            <w:tcMar>
              <w:top w:w="100" w:type="dxa"/>
              <w:bottom w:w="100" w:type="dxa"/>
              <w:left w:w="150" w:type="dxa"/>
              <w:right w:w="150" w:type="dxa"/>
            </w:tcMar>
          </w:tcPr>
          <w:p>
            <w:pPr>
              <w:spacing w:before="0" w:after="0"/>
              <w:jc w:val="left"/>
            </w:pPr>
            <w:r>
              <w:rPr>
                <w:rFonts w:ascii="Calibri" w:hAnsi="Calibri"/>
                <w:color w:val="334155"/>
                <w:sz w:val="18"/>
              </w:rPr>
              <w:t>Performance warning &amp; coaching plan required</w:t>
            </w:r>
          </w:p>
        </w:tc>
      </w:tr>
      <w:tr>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0.00% - 59.99%</w:t>
            </w:r>
          </w:p>
        </w:tc>
        <w:tc>
          <w:tcPr>
            <w:tcW w:type="dxa" w:w="2592"/>
            <w:shd w:fill="FFFFFF"/>
            <w:tcMar>
              <w:top w:w="100" w:type="dxa"/>
              <w:bottom w:w="100" w:type="dxa"/>
              <w:left w:w="150" w:type="dxa"/>
              <w:right w:w="150" w:type="dxa"/>
            </w:tcMar>
          </w:tcPr>
          <w:p>
            <w:pPr>
              <w:spacing w:before="0" w:after="0"/>
              <w:jc w:val="left"/>
            </w:pPr>
            <w:r>
              <w:rPr>
                <w:rFonts w:ascii="Calibri" w:hAnsi="Calibri"/>
                <w:color w:val="334155"/>
                <w:sz w:val="18"/>
              </w:rPr>
              <w:t>Unsatisfactory Performance</w:t>
            </w:r>
          </w:p>
        </w:tc>
        <w:tc>
          <w:tcPr>
            <w:tcW w:type="dxa" w:w="2160"/>
            <w:shd w:fill="FFFFFF"/>
            <w:tcMar>
              <w:top w:w="100" w:type="dxa"/>
              <w:bottom w:w="100" w:type="dxa"/>
              <w:left w:w="150" w:type="dxa"/>
              <w:right w:w="150" w:type="dxa"/>
            </w:tcMar>
          </w:tcPr>
          <w:p>
            <w:pPr>
              <w:spacing w:before="0" w:after="0"/>
              <w:jc w:val="left"/>
            </w:pPr>
            <w:r>
              <w:rPr>
                <w:rFonts w:ascii="Calibri" w:hAnsi="Calibri"/>
                <w:color w:val="334155"/>
                <w:sz w:val="18"/>
              </w:rPr>
              <w:t>Level 1 (Substandard)</w:t>
            </w:r>
          </w:p>
        </w:tc>
        <w:tc>
          <w:tcPr>
            <w:tcW w:type="dxa" w:w="2448"/>
            <w:shd w:fill="FFFFFF"/>
            <w:tcMar>
              <w:top w:w="100" w:type="dxa"/>
              <w:bottom w:w="100" w:type="dxa"/>
              <w:left w:w="150" w:type="dxa"/>
              <w:right w:w="150" w:type="dxa"/>
            </w:tcMar>
          </w:tcPr>
          <w:p>
            <w:pPr>
              <w:spacing w:before="0" w:after="0"/>
              <w:jc w:val="left"/>
            </w:pPr>
            <w:r>
              <w:rPr>
                <w:rFonts w:ascii="Calibri" w:hAnsi="Calibri"/>
                <w:color w:val="334155"/>
                <w:sz w:val="18"/>
              </w:rPr>
              <w:t>AUTOMATIC PIP TRIGGER (Performance Improvement Plan)</w:t>
            </w:r>
          </w:p>
        </w:tc>
      </w:tr>
    </w:tbl>
    <w:p>
      <w:pPr>
        <w:spacing w:after="80"/>
      </w:pPr>
    </w:p>
    <w:p>
      <w:pPr>
        <w:pStyle w:val="Heading2"/>
        <w:spacing w:before="240" w:after="80"/>
      </w:pPr>
      <w:r>
        <w:rPr>
          <w:rFonts w:ascii="Calibri" w:hAnsi="Calibri"/>
          <w:b/>
          <w:color w:val="1E293B"/>
          <w:sz w:val="25"/>
        </w:rPr>
        <w:t>4.2 PERC Grievance Redressal &amp; Score Override Protocol</w:t>
      </w:r>
    </w:p>
    <w:p>
      <w:r>
        <w:t>To guarantee procedural justice, employees dissatisfied with their final evaluation may submit a PERC Case (Performance Evaluation &amp; Review Committee). The tribunal conducts a formal inquiry involving appointed committee members, reviews meeting minutes, and records hearing notes. If a dispute is resolved in the employee's favor, the committee inputs a binding 'Final Score'. Invoking the resolution triggers `apply_perc_override()`, which locks the appraisal and submits the corrected score and rating band into the permanent personnel archive.</w:t>
      </w:r>
    </w:p>
    <w:p>
      <w:pPr>
        <w:pStyle w:val="Heading1"/>
        <w:spacing w:before="360" w:after="120"/>
      </w:pPr>
      <w:r>
        <w:rPr>
          <w:rFonts w:ascii="Calibri" w:hAnsi="Calibri"/>
          <w:b/>
          <w:color w:val="0F172A"/>
          <w:sz w:val="30"/>
        </w:rPr>
        <w:t>5. Master Role-Action Permission Matrix</w:t>
      </w:r>
    </w:p>
    <w:p>
      <w:r>
        <w:t>The following matrix summarizes the exact technical operations permitted per user role across all doctypes and workflow states: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304"/>
            <w:shd w:fill="1E3A8A"/>
            <w:tcMar>
              <w:top w:w="140" w:type="dxa"/>
              <w:bottom w:w="140" w:type="dxa"/>
              <w:left w:w="160" w:type="dxa"/>
              <w:right w:w="160" w:type="dxa"/>
            </w:tcMar>
          </w:tcPr>
          <w:p>
            <w:pPr>
              <w:spacing w:before="0" w:after="0"/>
              <w:jc w:val="left"/>
            </w:pPr>
            <w:r>
              <w:rPr>
                <w:rFonts w:ascii="Calibri" w:hAnsi="Calibri"/>
                <w:b/>
                <w:color w:val="FFFFFF"/>
                <w:sz w:val="19"/>
              </w:rPr>
              <w:t>Operational Action</w:t>
            </w:r>
          </w:p>
        </w:tc>
        <w:tc>
          <w:tcPr>
            <w:tcW w:type="dxa" w:w="1296"/>
            <w:shd w:fill="1E3A8A"/>
            <w:tcMar>
              <w:top w:w="140" w:type="dxa"/>
              <w:bottom w:w="140" w:type="dxa"/>
              <w:left w:w="160" w:type="dxa"/>
              <w:right w:w="160" w:type="dxa"/>
            </w:tcMar>
          </w:tcPr>
          <w:p>
            <w:pPr>
              <w:spacing w:before="0" w:after="0"/>
              <w:jc w:val="left"/>
            </w:pPr>
            <w:r>
              <w:rPr>
                <w:rFonts w:ascii="Calibri" w:hAnsi="Calibri"/>
                <w:b/>
                <w:color w:val="FFFFFF"/>
                <w:sz w:val="19"/>
              </w:rPr>
              <w:t>Employee</w:t>
            </w:r>
          </w:p>
        </w:tc>
        <w:tc>
          <w:tcPr>
            <w:tcW w:type="dxa" w:w="1440"/>
            <w:shd w:fill="1E3A8A"/>
            <w:tcMar>
              <w:top w:w="140" w:type="dxa"/>
              <w:bottom w:w="140" w:type="dxa"/>
              <w:left w:w="160" w:type="dxa"/>
              <w:right w:w="160" w:type="dxa"/>
            </w:tcMar>
          </w:tcPr>
          <w:p>
            <w:pPr>
              <w:spacing w:before="0" w:after="0"/>
              <w:jc w:val="left"/>
            </w:pPr>
            <w:r>
              <w:rPr>
                <w:rFonts w:ascii="Calibri" w:hAnsi="Calibri"/>
                <w:b/>
                <w:color w:val="FFFFFF"/>
                <w:sz w:val="19"/>
              </w:rPr>
              <w:t>Supervisor</w:t>
            </w:r>
          </w:p>
        </w:tc>
        <w:tc>
          <w:tcPr>
            <w:tcW w:type="dxa" w:w="1440"/>
            <w:shd w:fill="1E3A8A"/>
            <w:tcMar>
              <w:top w:w="140" w:type="dxa"/>
              <w:bottom w:w="140" w:type="dxa"/>
              <w:left w:w="160" w:type="dxa"/>
              <w:right w:w="160" w:type="dxa"/>
            </w:tcMar>
          </w:tcPr>
          <w:p>
            <w:pPr>
              <w:spacing w:before="0" w:after="0"/>
              <w:jc w:val="left"/>
            </w:pPr>
            <w:r>
              <w:rPr>
                <w:rFonts w:ascii="Calibri" w:hAnsi="Calibri"/>
                <w:b/>
                <w:color w:val="FFFFFF"/>
                <w:sz w:val="19"/>
              </w:rPr>
              <w:t>Reviewer</w:t>
            </w:r>
          </w:p>
        </w:tc>
        <w:tc>
          <w:tcPr>
            <w:tcW w:type="dxa" w:w="1440"/>
            <w:shd w:fill="1E3A8A"/>
            <w:tcMar>
              <w:top w:w="140" w:type="dxa"/>
              <w:bottom w:w="140" w:type="dxa"/>
              <w:left w:w="160" w:type="dxa"/>
              <w:right w:w="160" w:type="dxa"/>
            </w:tcMar>
          </w:tcPr>
          <w:p>
            <w:pPr>
              <w:spacing w:before="0" w:after="0"/>
              <w:jc w:val="left"/>
            </w:pPr>
            <w:r>
              <w:rPr>
                <w:rFonts w:ascii="Calibri" w:hAnsi="Calibri"/>
                <w:b/>
                <w:color w:val="FFFFFF"/>
                <w:sz w:val="19"/>
              </w:rPr>
              <w:t>Supervisor 2</w:t>
            </w:r>
          </w:p>
        </w:tc>
        <w:tc>
          <w:tcPr>
            <w:tcW w:type="dxa" w:w="1440"/>
            <w:shd w:fill="1E3A8A"/>
            <w:tcMar>
              <w:top w:w="140" w:type="dxa"/>
              <w:bottom w:w="140" w:type="dxa"/>
              <w:left w:w="160" w:type="dxa"/>
              <w:right w:w="160" w:type="dxa"/>
            </w:tcMar>
          </w:tcPr>
          <w:p>
            <w:pPr>
              <w:spacing w:before="0" w:after="0"/>
              <w:jc w:val="left"/>
            </w:pPr>
            <w:r>
              <w:rPr>
                <w:rFonts w:ascii="Calibri" w:hAnsi="Calibri"/>
                <w:b/>
                <w:color w:val="FFFFFF"/>
                <w:sz w:val="19"/>
              </w:rPr>
              <w:t>HR Admin</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Create PMS Appraisal</w:t>
            </w:r>
          </w:p>
        </w:tc>
        <w:tc>
          <w:tcPr>
            <w:tcW w:type="dxa" w:w="1296"/>
            <w:shd w:fill="FFFFFF"/>
            <w:tcMar>
              <w:top w:w="100" w:type="dxa"/>
              <w:bottom w:w="100" w:type="dxa"/>
              <w:left w:w="150" w:type="dxa"/>
              <w:right w:w="150" w:type="dxa"/>
            </w:tcMar>
          </w:tcPr>
          <w:p>
            <w:pPr>
              <w:spacing w:before="0" w:after="0"/>
              <w:jc w:val="left"/>
            </w:pPr>
            <w:r>
              <w:rPr>
                <w:rFonts w:ascii="Calibri" w:hAnsi="Calibri"/>
                <w:color w:val="334155"/>
                <w:sz w:val="18"/>
              </w:rPr>
              <w:t>YES (Self)</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 (Any)</w:t>
            </w:r>
          </w:p>
        </w:tc>
      </w:tr>
      <w:tr>
        <w:tc>
          <w:tcPr>
            <w:tcW w:type="dxa" w:w="2304"/>
            <w:shd w:fill="F8FAFC"/>
            <w:tcMar>
              <w:top w:w="100" w:type="dxa"/>
              <w:bottom w:w="100" w:type="dxa"/>
              <w:left w:w="150" w:type="dxa"/>
              <w:right w:w="150" w:type="dxa"/>
            </w:tcMar>
          </w:tcPr>
          <w:p>
            <w:pPr>
              <w:spacing w:before="0" w:after="0"/>
              <w:jc w:val="left"/>
            </w:pPr>
            <w:r>
              <w:rPr>
                <w:rFonts w:ascii="Calibri" w:hAnsi="Calibri"/>
                <w:color w:val="334155"/>
                <w:sz w:val="18"/>
              </w:rPr>
              <w:t>Edit Targets in Draft</w:t>
            </w:r>
          </w:p>
        </w:tc>
        <w:tc>
          <w:tcPr>
            <w:tcW w:type="dxa" w:w="1296"/>
            <w:shd w:fill="F8FAFC"/>
            <w:tcMar>
              <w:top w:w="100" w:type="dxa"/>
              <w:bottom w:w="100" w:type="dxa"/>
              <w:left w:w="150" w:type="dxa"/>
              <w:right w:w="150" w:type="dxa"/>
            </w:tcMar>
          </w:tcPr>
          <w:p>
            <w:pPr>
              <w:spacing w:before="0" w:after="0"/>
              <w:jc w:val="left"/>
            </w:pPr>
            <w:r>
              <w:rPr>
                <w:rFonts w:ascii="Calibri" w:hAnsi="Calibri"/>
                <w:color w:val="334155"/>
                <w:sz w:val="18"/>
              </w:rPr>
              <w:t>YES</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Send for Approval</w:t>
            </w:r>
          </w:p>
        </w:tc>
        <w:tc>
          <w:tcPr>
            <w:tcW w:type="dxa" w:w="1296"/>
            <w:shd w:fill="FFFFFF"/>
            <w:tcMar>
              <w:top w:w="100" w:type="dxa"/>
              <w:bottom w:w="100" w:type="dxa"/>
              <w:left w:w="150" w:type="dxa"/>
              <w:right w:w="150" w:type="dxa"/>
            </w:tcMar>
          </w:tcPr>
          <w:p>
            <w:pPr>
              <w:spacing w:before="0" w:after="0"/>
              <w:jc w:val="left"/>
            </w:pPr>
            <w:r>
              <w:rPr>
                <w:rFonts w:ascii="Calibri" w:hAnsi="Calibri"/>
                <w:color w:val="334155"/>
                <w:sz w:val="18"/>
              </w:rPr>
              <w:t>YES</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8FAFC"/>
            <w:tcMar>
              <w:top w:w="100" w:type="dxa"/>
              <w:bottom w:w="100" w:type="dxa"/>
              <w:left w:w="150" w:type="dxa"/>
              <w:right w:w="150" w:type="dxa"/>
            </w:tcMar>
          </w:tcPr>
          <w:p>
            <w:pPr>
              <w:spacing w:before="0" w:after="0"/>
              <w:jc w:val="left"/>
            </w:pPr>
            <w:r>
              <w:rPr>
                <w:rFonts w:ascii="Calibri" w:hAnsi="Calibri"/>
                <w:color w:val="334155"/>
                <w:sz w:val="18"/>
              </w:rPr>
              <w:t>Approve Initial Plan</w:t>
            </w:r>
          </w:p>
        </w:tc>
        <w:tc>
          <w:tcPr>
            <w:tcW w:type="dxa" w:w="1296"/>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 (L1)</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 (L2)</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 (Read-only)</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Reject Initial Plan</w:t>
            </w:r>
          </w:p>
        </w:tc>
        <w:tc>
          <w:tcPr>
            <w:tcW w:type="dxa" w:w="1296"/>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 (L1)</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 (L2)</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 (Read-only)</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8FAFC"/>
            <w:tcMar>
              <w:top w:w="100" w:type="dxa"/>
              <w:bottom w:w="100" w:type="dxa"/>
              <w:left w:w="150" w:type="dxa"/>
              <w:right w:w="150" w:type="dxa"/>
            </w:tcMar>
          </w:tcPr>
          <w:p>
            <w:pPr>
              <w:spacing w:before="0" w:after="0"/>
              <w:jc w:val="left"/>
            </w:pPr>
            <w:r>
              <w:rPr>
                <w:rFonts w:ascii="Calibri" w:hAnsi="Calibri"/>
                <w:color w:val="334155"/>
                <w:sz w:val="18"/>
              </w:rPr>
              <w:t>View Monitored Plan</w:t>
            </w:r>
          </w:p>
        </w:tc>
        <w:tc>
          <w:tcPr>
            <w:tcW w:type="dxa" w:w="1296"/>
            <w:shd w:fill="F8FAFC"/>
            <w:tcMar>
              <w:top w:w="100" w:type="dxa"/>
              <w:bottom w:w="100" w:type="dxa"/>
              <w:left w:w="150" w:type="dxa"/>
              <w:right w:w="150" w:type="dxa"/>
            </w:tcMar>
          </w:tcPr>
          <w:p>
            <w:pPr>
              <w:spacing w:before="0" w:after="0"/>
              <w:jc w:val="left"/>
            </w:pPr>
            <w:r>
              <w:rPr>
                <w:rFonts w:ascii="Calibri" w:hAnsi="Calibri"/>
                <w:color w:val="334155"/>
                <w:sz w:val="18"/>
              </w:rPr>
              <w:t>YES (Self)</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 (Team)</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 (Dept)</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 (Assigned)</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 (All)</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Direct Edit Targets in Monitoring</w:t>
            </w:r>
          </w:p>
        </w:tc>
        <w:tc>
          <w:tcPr>
            <w:tcW w:type="dxa" w:w="1296"/>
            <w:shd w:fill="FFFFFF"/>
            <w:tcMar>
              <w:top w:w="100" w:type="dxa"/>
              <w:bottom w:w="100" w:type="dxa"/>
              <w:left w:w="150" w:type="dxa"/>
              <w:right w:w="150" w:type="dxa"/>
            </w:tcMar>
          </w:tcPr>
          <w:p>
            <w:pPr>
              <w:spacing w:before="0" w:after="0"/>
              <w:jc w:val="left"/>
            </w:pPr>
            <w:r>
              <w:rPr>
                <w:rFonts w:ascii="Calibri" w:hAnsi="Calibri"/>
                <w:color w:val="334155"/>
                <w:sz w:val="18"/>
              </w:rPr>
              <w:t>LOCKED</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LOCKED</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LOCKED</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LOCKED</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LOCKED</w:t>
            </w:r>
          </w:p>
        </w:tc>
      </w:tr>
      <w:tr>
        <w:tc>
          <w:tcPr>
            <w:tcW w:type="dxa" w:w="2304"/>
            <w:shd w:fill="F8FAFC"/>
            <w:tcMar>
              <w:top w:w="100" w:type="dxa"/>
              <w:bottom w:w="100" w:type="dxa"/>
              <w:left w:w="150" w:type="dxa"/>
              <w:right w:w="150" w:type="dxa"/>
            </w:tcMar>
          </w:tcPr>
          <w:p>
            <w:pPr>
              <w:spacing w:before="0" w:after="0"/>
              <w:jc w:val="left"/>
            </w:pPr>
            <w:r>
              <w:rPr>
                <w:rFonts w:ascii="Calibri" w:hAnsi="Calibri"/>
                <w:color w:val="334155"/>
                <w:sz w:val="18"/>
              </w:rPr>
              <w:t>Request Plan Amendment</w:t>
            </w:r>
          </w:p>
        </w:tc>
        <w:tc>
          <w:tcPr>
            <w:tcW w:type="dxa" w:w="1296"/>
            <w:shd w:fill="F8FAFC"/>
            <w:tcMar>
              <w:top w:w="100" w:type="dxa"/>
              <w:bottom w:w="100" w:type="dxa"/>
              <w:left w:w="150" w:type="dxa"/>
              <w:right w:w="150" w:type="dxa"/>
            </w:tcMar>
          </w:tcPr>
          <w:p>
            <w:pPr>
              <w:spacing w:before="0" w:after="0"/>
              <w:jc w:val="left"/>
            </w:pPr>
            <w:r>
              <w:rPr>
                <w:rFonts w:ascii="Calibri" w:hAnsi="Calibri"/>
                <w:color w:val="334155"/>
                <w:sz w:val="18"/>
              </w:rPr>
              <w:t>YES (Window)</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Approve Plan Amendment</w:t>
            </w:r>
          </w:p>
        </w:tc>
        <w:tc>
          <w:tcPr>
            <w:tcW w:type="dxa" w:w="1296"/>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 (L1)</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 (L2)</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 (Read-only)</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8FAFC"/>
            <w:tcMar>
              <w:top w:w="100" w:type="dxa"/>
              <w:bottom w:w="100" w:type="dxa"/>
              <w:left w:w="150" w:type="dxa"/>
              <w:right w:w="150" w:type="dxa"/>
            </w:tcMar>
          </w:tcPr>
          <w:p>
            <w:pPr>
              <w:spacing w:before="0" w:after="0"/>
              <w:jc w:val="left"/>
            </w:pPr>
            <w:r>
              <w:rPr>
                <w:rFonts w:ascii="Calibri" w:hAnsi="Calibri"/>
                <w:color w:val="334155"/>
                <w:sz w:val="18"/>
              </w:rPr>
              <w:t>Raise PERC Grievance</w:t>
            </w:r>
          </w:p>
        </w:tc>
        <w:tc>
          <w:tcPr>
            <w:tcW w:type="dxa" w:w="1296"/>
            <w:shd w:fill="F8FAFC"/>
            <w:tcMar>
              <w:top w:w="100" w:type="dxa"/>
              <w:bottom w:w="100" w:type="dxa"/>
              <w:left w:w="150" w:type="dxa"/>
              <w:right w:w="150" w:type="dxa"/>
            </w:tcMar>
          </w:tcPr>
          <w:p>
            <w:pPr>
              <w:spacing w:before="0" w:after="0"/>
              <w:jc w:val="left"/>
            </w:pPr>
            <w:r>
              <w:rPr>
                <w:rFonts w:ascii="Calibri" w:hAnsi="Calibri"/>
                <w:color w:val="334155"/>
                <w:sz w:val="18"/>
              </w:rPr>
              <w:t>YES (Self)</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334155"/>
                <w:sz w:val="18"/>
              </w:rPr>
              <w:t>Open/Close Amendment Window</w:t>
            </w:r>
          </w:p>
        </w:tc>
        <w:tc>
          <w:tcPr>
            <w:tcW w:type="dxa" w:w="1296"/>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FFFFF"/>
            <w:tcMar>
              <w:top w:w="100" w:type="dxa"/>
              <w:bottom w:w="100" w:type="dxa"/>
              <w:left w:w="150" w:type="dxa"/>
              <w:right w:w="150" w:type="dxa"/>
            </w:tcMar>
          </w:tcPr>
          <w:p>
            <w:pPr>
              <w:spacing w:before="0" w:after="0"/>
              <w:jc w:val="left"/>
            </w:pPr>
            <w:r>
              <w:rPr>
                <w:rFonts w:ascii="Calibri" w:hAnsi="Calibri"/>
                <w:color w:val="334155"/>
                <w:sz w:val="18"/>
              </w:rPr>
              <w:t>YES</w:t>
            </w:r>
          </w:p>
        </w:tc>
      </w:tr>
      <w:tr>
        <w:tc>
          <w:tcPr>
            <w:tcW w:type="dxa" w:w="2304"/>
            <w:shd w:fill="F8FAFC"/>
            <w:tcMar>
              <w:top w:w="100" w:type="dxa"/>
              <w:bottom w:w="100" w:type="dxa"/>
              <w:left w:w="150" w:type="dxa"/>
              <w:right w:w="150" w:type="dxa"/>
            </w:tcMar>
          </w:tcPr>
          <w:p>
            <w:pPr>
              <w:spacing w:before="0" w:after="0"/>
              <w:jc w:val="left"/>
            </w:pPr>
            <w:r>
              <w:rPr>
                <w:rFonts w:ascii="Calibri" w:hAnsi="Calibri"/>
                <w:color w:val="334155"/>
                <w:sz w:val="18"/>
              </w:rPr>
              <w:t>Sync Appraisal Cycle Employees</w:t>
            </w:r>
          </w:p>
        </w:tc>
        <w:tc>
          <w:tcPr>
            <w:tcW w:type="dxa" w:w="1296"/>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NO</w:t>
            </w:r>
          </w:p>
        </w:tc>
        <w:tc>
          <w:tcPr>
            <w:tcW w:type="dxa" w:w="1440"/>
            <w:shd w:fill="F8FAFC"/>
            <w:tcMar>
              <w:top w:w="100" w:type="dxa"/>
              <w:bottom w:w="100" w:type="dxa"/>
              <w:left w:w="150" w:type="dxa"/>
              <w:right w:w="150" w:type="dxa"/>
            </w:tcMar>
          </w:tcPr>
          <w:p>
            <w:pPr>
              <w:spacing w:before="0" w:after="0"/>
              <w:jc w:val="left"/>
            </w:pPr>
            <w:r>
              <w:rPr>
                <w:rFonts w:ascii="Calibri" w:hAnsi="Calibri"/>
                <w:color w:val="334155"/>
                <w:sz w:val="18"/>
              </w:rPr>
              <w:t>YES</w:t>
            </w:r>
          </w:p>
        </w:tc>
      </w:tr>
    </w:tbl>
    <w:p>
      <w:pPr>
        <w:spacing w:after="240"/>
      </w:pPr>
    </w:p>
    <w:p>
      <w:pPr>
        <w:jc w:val="center"/>
      </w:pPr>
      <w:r>
        <w:rPr>
          <w:rFonts w:ascii="Calibri" w:hAnsi="Calibri"/>
          <w:i/>
          <w:color w:val="94A3B8"/>
          <w:sz w:val="17"/>
        </w:rPr>
        <w:t>--- End of Technical Specification Document ---</w:t>
        <w:br/>
        <w:t>Generated by Antigravity AI Engine for GDL PMS Project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