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1188"/>
            <w:bookmarkStart w:id="2" w:name="_Toc41193312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2395"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Frintroper Str. 70</w:t>
                            </w:r>
                          </w:p>
                          <w:p>
                            <w:pPr>
                              <w:pStyle w:val="FrameContents"/>
                              <w:rPr>
                                <w:sz w:val="16"/>
                                <w:szCs w:val="16"/>
                              </w:rPr>
                            </w:pPr>
                            <w:r>
                              <w:rPr>
                                <w:color w:val="000000"/>
                                <w:sz w:val="16"/>
                                <w:szCs w:val="16"/>
                              </w:rPr>
                              <w:t>45359 Essen</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Frintroper Str. 70</w:t>
                      </w:r>
                    </w:p>
                    <w:p>
                      <w:pPr>
                        <w:pStyle w:val="FrameContents"/>
                        <w:rPr>
                          <w:sz w:val="16"/>
                          <w:szCs w:val="16"/>
                        </w:rPr>
                      </w:pPr>
                      <w:r>
                        <w:rPr>
                          <w:color w:val="000000"/>
                          <w:sz w:val="16"/>
                          <w:szCs w:val="16"/>
                        </w:rPr>
                        <w:t>45359 Essen</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rStyle w:val="IndexLink"/>
                <w:vanish w:val="false"/>
              </w:rPr>
              <w:tab/>
            </w:r>
          </w:hyperlink>
          <w:r>
            <w:rPr>
              <w:vanish w:val="false"/>
            </w:rPr>
            <w:t>4</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rStyle w:val="IndexLink"/>
                <w:vanish w:val="false"/>
              </w:rPr>
              <w:tab/>
            </w:r>
          </w:hyperlink>
          <w:r>
            <w:rPr>
              <w:vanish w:val="false"/>
            </w:rPr>
            <w:t>5</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rStyle w:val="IndexLink"/>
                <w:vanish w:val="false"/>
              </w:rPr>
              <w:tab/>
            </w:r>
          </w:hyperlink>
          <w:r>
            <w:rPr>
              <w:vanish w:val="false"/>
            </w:rPr>
            <w:t>6</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rStyle w:val="IndexLink"/>
                <w:vanish w:val="false"/>
              </w:rPr>
              <w:tab/>
            </w:r>
          </w:hyperlink>
          <w:r>
            <w:rPr>
              <w:vanish w:val="false"/>
            </w:rPr>
            <w:t>7</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Fonts w:eastAsia="" w:cs="" w:cstheme="minorBidi" w:eastAsiaTheme="minorEastAsia"/>
                <w:kern w:val="2"/>
                <w:sz w:val="20"/>
                <w:szCs w:val="20"/>
                <w:lang w:eastAsia="de-DE"/>
                <w14:ligatures w14:val="standardContextual"/>
              </w:rPr>
              <w:t>Wirtschaftlichkeitsanalyse</w:t>
            </w:r>
            <w:r>
              <w:rPr>
                <w:rStyle w:val="IndexLink"/>
                <w:vanish w:val="false"/>
              </w:rPr>
              <w:tab/>
            </w:r>
          </w:hyperlink>
          <w:r>
            <w:rPr>
              <w:vanish w:val="false"/>
            </w:rPr>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6">
            <w:r>
              <w:rPr>
                <w:rStyle w:val="IndexLink"/>
                <w:rFonts w:ascii="Alexandria" w:hAnsi="Alexandria"/>
                <w:vanish w:val="false"/>
                <w:webHidden/>
                <w:color w:val="000000"/>
                <w:sz w:val="20"/>
                <w:szCs w:val="20"/>
              </w:rPr>
              <w:t>3.4.1     „Make-or-buy“ Entscheidung</w:t>
            </w:r>
          </w:hyperlink>
          <w:r>
            <w:rPr>
              <w:rFonts w:ascii="Alexandria" w:hAnsi="Alexandria"/>
              <w:vanish w:val="false"/>
              <w:color w:val="000000"/>
              <w:sz w:val="20"/>
              <w:szCs w:val="20"/>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8">
            <w:r>
              <w:rPr>
                <w:rStyle w:val="IndexLink"/>
                <w:vanish w:val="false"/>
                <w:webHidden/>
                <w:color w:val="000000"/>
                <w:sz w:val="20"/>
                <w:szCs w:val="20"/>
              </w:rPr>
              <w:t>3.4.2    Projektkosten</w:t>
            </w:r>
          </w:hyperlink>
          <w:r>
            <w:rPr>
              <w:vanish w:val="false"/>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3.4.3    Armortisationsrechnung</w:t>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3.4.4    Nicht monetäre Vorteile</w:t>
            <w:tab/>
            <w:t>8</w:t>
            <w:tab/>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3"/>
        </w:numPr>
        <w:rPr/>
      </w:pPr>
      <w:bookmarkStart w:id="3" w:name="_Toc218703493"/>
      <w:bookmarkStart w:id="4" w:name="_Toc181708996"/>
      <w:bookmarkStart w:id="5" w:name="_Toc181697548"/>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117" w:after="340"/>
        <w:jc w:val="both"/>
        <w:rPr>
          <w:rFonts w:ascii="Alexandria Light" w:hAnsi="Alexandria Light"/>
          <w:sz w:val="20"/>
          <w:lang w:eastAsia="ja-JP"/>
        </w:rPr>
      </w:pPr>
      <w:r>
        <w:rPr>
          <w:rFonts w:ascii="Alexandria Light" w:hAnsi="Alexandria Light"/>
          <w:sz w:val="20"/>
          <w:lang w:eastAsia="ja-JP"/>
        </w:rPr>
        <w:t>Der Ausbildungsbetrieb ist die MIBS-AG.</w:t>
      </w:r>
    </w:p>
    <w:p>
      <w:pPr>
        <w:pStyle w:val="Heading1"/>
        <w:numPr>
          <w:ilvl w:val="0"/>
          <w:numId w:val="11"/>
        </w:numPr>
        <w:rPr/>
      </w:pPr>
      <w:bookmarkStart w:id="6" w:name="_Toc181697549"/>
      <w:bookmarkStart w:id="7" w:name="_Toc181708997"/>
      <w:bookmarkStart w:id="8" w:name="_Toc218703494"/>
      <w:r>
        <w:rPr/>
        <w:t>Projekteinführung</w:t>
      </w:r>
      <w:bookmarkEnd w:id="6"/>
      <w:bookmarkEnd w:id="7"/>
      <w:bookmarkEnd w:id="8"/>
    </w:p>
    <w:p>
      <w:pPr>
        <w:pStyle w:val="Heading2"/>
        <w:numPr>
          <w:ilvl w:val="1"/>
          <w:numId w:val="11"/>
        </w:numPr>
        <w:rPr/>
      </w:pPr>
      <w:bookmarkStart w:id="9" w:name="_Toc181697550"/>
      <w:bookmarkStart w:id="10" w:name="_Toc218703495"/>
      <w:bookmarkStart w:id="11" w:name="_Toc181708998"/>
      <w:r>
        <w:rPr/>
        <w:t>Ist-Zustand</w:t>
      </w:r>
      <w:bookmarkEnd w:id="9"/>
      <w:bookmarkEnd w:id="10"/>
      <w:bookmarkEnd w:id="11"/>
    </w:p>
    <w:p>
      <w:pPr>
        <w:pStyle w:val="BodyText"/>
        <w:jc w:val="both"/>
        <w:rPr/>
      </w:pPr>
      <w:r>
        <w:rPr>
          <w:rFonts w:ascii="Alexandria Light" w:hAnsi="Alexandria Light"/>
          <w:sz w:val="20"/>
          <w:lang w:eastAsia="ja-JP"/>
        </w:rPr>
        <w:t>Der MIBS-Virtualdesk ist ein von der MIBS entwickeltes HCM-Tool und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117" w:after="340"/>
        <w:jc w:val="both"/>
        <w:rPr/>
      </w:pPr>
      <w:r>
        <w:rPr>
          <w:rFonts w:ascii="Alexandria Light" w:hAnsi="Alexandria Light"/>
          <w:sz w:val="20"/>
          <w:lang w:eastAsia="ja-JP"/>
        </w:rPr>
        <w:t>Anträge für u.a. neue 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entsteht ein erheblicher Verwaltungsaufwand und eine hohe Fehleranfälligkeit.</w:t>
      </w:r>
    </w:p>
    <w:p>
      <w:pPr>
        <w:pStyle w:val="Heading2"/>
        <w:numPr>
          <w:ilvl w:val="1"/>
          <w:numId w:val="11"/>
        </w:numPr>
        <w:rPr/>
      </w:pPr>
      <w:bookmarkStart w:id="12" w:name="_Toc218703496"/>
      <w:bookmarkStart w:id="13" w:name="_Toc181697551"/>
      <w:bookmarkStart w:id="14" w:name="_Toc181708999"/>
      <w:bookmarkStart w:id="15" w:name="_Toc182399888"/>
      <w:bookmarkStart w:id="16" w:name="_Toc182313709"/>
      <w:bookmarkEnd w:id="15"/>
      <w:bookmarkEnd w:id="16"/>
      <w:r>
        <w:rPr/>
        <w:t>Soll-Zustand</w:t>
      </w:r>
      <w:bookmarkEnd w:id="12"/>
      <w:bookmarkEnd w:id="13"/>
      <w:bookmarkEnd w:id="14"/>
    </w:p>
    <w:p>
      <w:pPr>
        <w:pStyle w:val="BodyText"/>
        <w:jc w:val="both"/>
        <w:rPr/>
      </w:pPr>
      <w:r>
        <w:rPr>
          <w:rFonts w:ascii="Alexandria Light" w:hAnsi="Alexandria Light"/>
          <w:color w:val="000000"/>
          <w:sz w:val="20"/>
          <w:lang w:eastAsia="ja-JP"/>
        </w:rPr>
        <w:t>Ziel des Projektes ist die Entwicklung einer webbasierten Anwendung, die als neue App in den bestehenden MIBS-Virtualdesk integriert wird. Diese App soll Mitarbeitern ermöglichen, Anträge für u.a. Hardware, Lizenzen, Dienstreisen und Fortbildungen vollständig digital zu stellen.</w:t>
      </w:r>
    </w:p>
    <w:p>
      <w:pPr>
        <w:pStyle w:val="BodyText"/>
        <w:spacing w:before="57" w:after="57"/>
        <w:jc w:val="both"/>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pPr>
      <w:r>
        <w:rPr>
          <w:rFonts w:ascii="Alexandria Light" w:hAnsi="Alexandria Light"/>
          <w:color w:val="000000"/>
          <w:sz w:val="20"/>
          <w:lang w:eastAsia="ja-JP"/>
        </w:rPr>
        <w:t>Die entwickelte Anwendung wird als neue App in den MIBS-Virtualdesk integriert und über eine Schnittstelle an das bestehende SAP-System der MIBS AG angebunden.</w:t>
      </w:r>
    </w:p>
    <w:p>
      <w:pPr>
        <w:pStyle w:val="BodyText"/>
        <w:widowControl/>
        <w:suppressAutoHyphens w:val="true"/>
        <w:bidi w:val="0"/>
        <w:spacing w:lineRule="auto" w:line="264" w:before="57" w:after="57"/>
        <w:ind w:hanging="0" w:start="0" w:end="0"/>
        <w:jc w:val="both"/>
        <w:rPr/>
      </w:pPr>
      <w:r>
        <w:rPr>
          <w:rFonts w:ascii="Alexandria Light" w:hAnsi="Alexandria Light"/>
          <w:color w:val="000000"/>
          <w:sz w:val="20"/>
          <w:lang w:eastAsia="ja-JP"/>
        </w:rPr>
        <w:t>Die Anwendung wird mit d</w:t>
      </w:r>
      <w:r>
        <w:rPr>
          <w:rFonts w:ascii="Alexandria Light" w:hAnsi="Alexandria Light"/>
          <w:b w:val="false"/>
          <w:bCs w:val="false"/>
          <w:color w:val="000000"/>
          <w:sz w:val="20"/>
          <w:lang w:eastAsia="ja-JP"/>
        </w:rPr>
        <w:t xml:space="preserve">em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mit CDS-View Entitäten als Basis.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Normal"/>
        <w:spacing w:before="0" w:after="0"/>
        <w:jc w:val="both"/>
        <w:rPr/>
      </w:pPr>
      <w:r>
        <w:rPr>
          <w:color w:val="000000"/>
          <w:shd w:fill="auto" w:val="clear"/>
        </w:rPr>
        <w:t>Die genauen Anforderungen an die Strukturierte Ansicht sind i</w:t>
      </w:r>
      <w:r>
        <w:rPr>
          <w:b w:val="false"/>
          <w:bCs w:val="false"/>
          <w:color w:val="000000"/>
          <w:u w:val="none"/>
          <w:shd w:fill="auto" w:val="clear"/>
        </w:rPr>
        <w:t>m Lastenheft zu</w:t>
      </w:r>
      <w:r>
        <w:rPr>
          <w:bCs/>
          <w:color w:val="000000"/>
          <w:shd w:fill="auto" w:val="clear"/>
        </w:rPr>
        <w:t>sammengefasst</w:t>
      </w:r>
      <w:r>
        <w:rPr>
          <w:color w:val="000000"/>
          <w:shd w:fill="auto" w:val="clear"/>
        </w:rPr>
        <w:t>.</w:t>
      </w:r>
    </w:p>
    <w:p>
      <w:pPr>
        <w:pStyle w:val="Heading2"/>
        <w:numPr>
          <w:ilvl w:val="1"/>
          <w:numId w:val="11"/>
        </w:numPr>
        <w:rPr/>
      </w:pPr>
      <w:bookmarkStart w:id="17" w:name="_Toc181697552"/>
      <w:bookmarkStart w:id="18" w:name="_Toc218703497"/>
      <w:bookmarkStart w:id="19" w:name="_Toc181709000"/>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Als interner Ansprechpartner stehen mir Rafael Kopytto und Nadine Wirth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innerhalb eines unternehmenseigenen SAP-Entwicklungssystems. Für die Versionsverwaltung kommt Git/GitHub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283"/>
        <w:rPr/>
      </w:pPr>
      <w:r>
        <w:rPr>
          <w:rFonts w:ascii="Alexandria Light" w:hAnsi="Alexandria Light"/>
          <w:b w:val="false"/>
          <w:bCs w:val="false"/>
          <w:sz w:val="20"/>
          <w:lang w:eastAsia="ja-JP"/>
        </w:rPr>
        <w:t>Nach erfolgreichem Abschluss der Entwicklung und internen Tests wird die Anwendung über einen Transportauftrag in das Produktivsystem überführt.</w:t>
      </w:r>
    </w:p>
    <w:p>
      <w:pPr>
        <w:pStyle w:val="Heading2"/>
        <w:numPr>
          <w:ilvl w:val="1"/>
          <w:numId w:val="11"/>
        </w:numPr>
        <w:rPr/>
      </w:pPr>
      <w:bookmarkStart w:id="20" w:name="_Toc181697553"/>
      <w:bookmarkStart w:id="21" w:name="_Toc181709001"/>
      <w:bookmarkStart w:id="22" w:name="_Toc218703498"/>
      <w:r>
        <w:rPr/>
        <w:t>Projektabgrenzung</w:t>
      </w:r>
      <w:bookmarkEnd w:id="20"/>
      <w:bookmarkEnd w:id="21"/>
      <w:bookmarkEnd w:id="22"/>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Im Rahmen dieses Projektes wird ausschließlich die Antragsmanagement App für den MIBS-Virtualdesk entwickelt. Für die Authentifizierung und Benutzerverwaltung wird auf die bestehende Virtualdesk Benutzerverwaltung zurückgegriffen, sodass kein eigenständiges Login-System entwickelt wird. Für die Bereitstellung der Mitarbeiterdaten wurde auf eine bereits im System vorhandene CDS View Entität zurückgegriffen, die entsprechend in das Datenmodell eingebunden wurde. Das Datenmodell für das Antragsmanagement selbst wurde vollständig neu entwickelt.</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Ein Benachrichtigungssystem, das Mitarbeiter oder das Management bei Statusänderungen eines Antrages automatisch informiert, ist nicht Gegenstand dieses Projektes. Statistische Auswertungen oder Reportings über eingereichte Anträge sind ebenfalls nicht Teil des Projektumfangs und bleiben zukünftigen Erweiterungen vorbehalten.</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23" w:name="_Toc218703499"/>
      <w:bookmarkStart w:id="24" w:name="_Toc181709002"/>
      <w:bookmarkStart w:id="25" w:name="_Toc181697554"/>
      <w:r>
        <w:rPr/>
        <w:t>Projektvorgehen</w:t>
      </w:r>
      <w:bookmarkEnd w:id="23"/>
      <w:bookmarkEnd w:id="24"/>
      <w:bookmarkEnd w:id="25"/>
    </w:p>
    <w:p>
      <w:pPr>
        <w:pStyle w:val="Heading2"/>
        <w:numPr>
          <w:ilvl w:val="1"/>
          <w:numId w:val="11"/>
        </w:numPr>
        <w:rPr/>
      </w:pPr>
      <w:bookmarkStart w:id="26" w:name="_Toc181697555"/>
      <w:bookmarkStart w:id="27" w:name="_Toc218703500"/>
      <w:bookmarkStart w:id="28" w:name="_Toc181709003"/>
      <w:bookmarkStart w:id="29" w:name="_Vorgehensweise"/>
      <w:bookmarkEnd w:id="29"/>
      <w:r>
        <w:rPr/>
        <w:t>Vorgehensweise</w:t>
      </w:r>
      <w:bookmarkEnd w:id="26"/>
      <w:bookmarkEnd w:id="27"/>
      <w:bookmarkEnd w:id="28"/>
    </w:p>
    <w:p>
      <w:pPr>
        <w:pStyle w:val="BodyText"/>
        <w:spacing w:lineRule="auto" w:line="264" w:before="0" w:after="0"/>
        <w:ind w:hanging="0" w:start="0" w:end="567"/>
        <w:jc w:val="start"/>
        <w:rPr/>
      </w:pPr>
      <w:r>
        <w:rPr>
          <w:rStyle w:val="Strong"/>
          <w:rFonts w:ascii="Alexandria Light" w:hAnsi="Alexandria Light"/>
          <w:b w:val="false"/>
          <w:bCs w:val="false"/>
          <w:sz w:val="20"/>
          <w:lang w:eastAsia="ja-JP"/>
        </w:rPr>
        <w:t>Für die Umsetzung des Projektes wurde das erweiterte Wasserfallmodell als Vorgehensmodell gewählt. Da die Anforderungen an die Anwendung zu Projektbeginn vollständig bekannt und klar definiert waren, eignet sich dieses Modell besonders gut, da die einzelnen Phasen sequenziell aufeinander aufbauen und eine strukturierte Planung ermöglichen.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t>In der Projektvorbereitung wurden die Anforderungen analysiert und dokumentiert. Der Ist-Zustand des bestehenden Prozesses wurde aufgenommen und Schwachstellen identifiziert. Auf Basis dieser Analyse wurde eine Nutzwertanalyse erstellt, um die Umsetzung des Projektes zu rechtfertigen. Abschließend wurde aus den gesammelten Anforderungen das Pflichtenheft abgeleitet, welches als verbindliche Grundlage für die weitere Entwicklung dient. Die Projektvorbereitung ist mit der Fertigstellung des Pflichtenheftes abgeschlossen.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r>
    </w:p>
    <w:p>
      <w:pPr>
        <w:pStyle w:val="BodyText"/>
        <w:spacing w:lineRule="auto" w:line="264" w:before="114" w:after="114"/>
        <w:ind w:hanging="0" w:start="0" w:end="567"/>
        <w:jc w:val="start"/>
        <w:rPr/>
      </w:pPr>
      <w:r>
        <w:rPr>
          <w:rFonts w:ascii="Alexandria Light" w:hAnsi="Alexandria Light"/>
          <w:b w:val="false"/>
          <w:bCs w:val="false"/>
          <w:sz w:val="20"/>
          <w:lang w:eastAsia="ja-JP"/>
        </w:rPr>
        <w:t>In der Konzeptionsphase wurde auf Basis des Pflichtenheftes zunächst ein Use-Case-Diagramm erstellt, um die funktionalen Anforderungen aus Anwendersicht zu visualisieren. Anschließend wurde das Entity-Relationship-Modell entworfen, das die Datenstruktur des Antragsmanagements abbildet. Darüber hinaus wurden Mockups der Benutzeroberfläche erstellt, die als Grundlage für die spätere Implementierung eines UI5 Wizards dienen. Abschließend wurde die Ablauflogik der Anwendung definiert sowie ein Testkonzept erarbeitet, das die zu prüfenden Funktionen und Testfälle beschreibt. Die Konzeptionsphase ist mit der Fertigstellung des Testkonzeptes abgeschlossen.</w:t>
      </w:r>
    </w:p>
    <w:p>
      <w:pPr>
        <w:pStyle w:val="BodyText"/>
        <w:spacing w:lineRule="auto" w:line="264" w:before="114" w:after="114"/>
        <w:ind w:hanging="0" w:start="0" w:end="567"/>
        <w:jc w:val="start"/>
        <w:rPr>
          <w:rFonts w:ascii="Alexandria Light" w:hAnsi="Alexandria Light"/>
          <w:b w:val="false"/>
          <w:bCs w:val="false"/>
          <w:sz w:val="20"/>
          <w:lang w:eastAsia="ja-JP"/>
        </w:rPr>
      </w:pPr>
      <w:r>
        <w:rPr>
          <w:rFonts w:ascii="Alexandria Light" w:hAnsi="Alexandria Light"/>
          <w:b w:val="false"/>
          <w:bCs w:val="false"/>
          <w:sz w:val="20"/>
          <w:lang w:eastAsia="ja-JP"/>
        </w:rPr>
        <w:t>Die Entwicklungsphase umfasst die Implementierung des Datenmodells sowie die Entwicklung der Nutzeroberfläche und ist mit dem erfolgreichen Transport in das Produktivsystem abgeschlossen.</w:t>
      </w:r>
    </w:p>
    <w:p>
      <w:pPr>
        <w:pStyle w:val="BodyText"/>
        <w:spacing w:lineRule="auto" w:line="264" w:before="60" w:after="283"/>
        <w:ind w:hanging="0" w:start="0" w:end="567"/>
        <w:jc w:val="start"/>
        <w:rPr>
          <w:rFonts w:ascii="Alexandria Light" w:hAnsi="Alexandria Light"/>
          <w:sz w:val="20"/>
          <w:lang w:eastAsia="ja-JP"/>
        </w:rPr>
      </w:pPr>
      <w:r>
        <w:rPr>
          <w:rFonts w:ascii="Alexandria Light" w:hAnsi="Alexandria Light"/>
          <w:b w:val="false"/>
          <w:bCs w:val="false"/>
          <w:sz w:val="20"/>
          <w:lang w:eastAsia="ja-JP"/>
        </w:rPr>
        <w:t>D</w:t>
      </w:r>
      <w:r>
        <w:rPr>
          <w:rFonts w:ascii="Alexandria Light" w:hAnsi="Alexandria Light"/>
          <w:sz w:val="20"/>
          <w:lang w:eastAsia="ja-JP"/>
        </w:rPr>
        <w:t>ie Abschlussphase umfasst die Durchführung der Unittests, die Erstellung der Anwenderdokumentation, der Projektdokumentation sowie die finale Abgabe und ist mit der Abgabe der Projektdokumentation abgeschlossen.</w:t>
      </w:r>
    </w:p>
    <w:p>
      <w:pPr>
        <w:pStyle w:val="Heading2"/>
        <w:numPr>
          <w:ilvl w:val="1"/>
          <w:numId w:val="11"/>
        </w:numPr>
        <w:bidi w:val="0"/>
        <w:rPr/>
      </w:pPr>
      <w:bookmarkStart w:id="30" w:name="_Toc181709004"/>
      <w:bookmarkStart w:id="31" w:name="_Toc181697556"/>
      <w:bookmarkStart w:id="32" w:name="_Toc218703501"/>
      <w:r>
        <w:rPr/>
        <w:t>Ressourcenplanung</w:t>
      </w:r>
      <w:bookmarkEnd w:id="30"/>
      <w:bookmarkEnd w:id="31"/>
      <w:bookmarkEnd w:id="32"/>
    </w:p>
    <w:p>
      <w:pPr>
        <w:pStyle w:val="Heading3"/>
        <w:numPr>
          <w:ilvl w:val="2"/>
          <w:numId w:val="11"/>
        </w:numPr>
        <w:bidi w:val="0"/>
        <w:rPr/>
      </w:pPr>
      <w:bookmarkStart w:id="33" w:name="_Toc218703502"/>
      <w:bookmarkStart w:id="34" w:name="_Toc181697557"/>
      <w:bookmarkStart w:id="35" w:name="_Toc181709005"/>
      <w:r>
        <w:rPr/>
        <w:t>Personelle Ressourcen</w:t>
      </w:r>
      <w:bookmarkEnd w:id="33"/>
      <w:bookmarkEnd w:id="34"/>
      <w:bookmarkEnd w:id="35"/>
    </w:p>
    <w:p>
      <w:pPr>
        <w:pStyle w:val="Normal"/>
        <w:bidi w:val="0"/>
        <w:rPr>
          <w:color w:val="FF4000"/>
        </w:rPr>
      </w:pPr>
      <w:r>
        <w:rPr>
          <w:color w:val="0070C0"/>
        </w:rPr>
        <w:t>Eine Detaillierte Übersicht der Personalkosten</w:t>
      </w:r>
    </w:p>
    <w:p>
      <w:pPr>
        <w:pStyle w:val="Heading3"/>
        <w:numPr>
          <w:ilvl w:val="2"/>
          <w:numId w:val="11"/>
        </w:numPr>
        <w:bidi w:val="0"/>
        <w:rPr/>
      </w:pPr>
      <w:bookmarkStart w:id="36" w:name="_Toc218703503"/>
      <w:bookmarkStart w:id="37" w:name="_Toc181709006"/>
      <w:bookmarkStart w:id="38" w:name="_Toc181697558"/>
      <w:r>
        <w:rPr/>
        <w:t>Non-Personelle Ressourcen</w:t>
      </w:r>
      <w:bookmarkEnd w:id="36"/>
      <w:bookmarkEnd w:id="37"/>
      <w:bookmarkEnd w:id="38"/>
    </w:p>
    <w:p>
      <w:pPr>
        <w:pStyle w:val="Normal"/>
        <w:bidi w:val="0"/>
        <w:rPr/>
      </w:pPr>
      <w:r>
        <w:rPr/>
        <w:t>Hardware:</w:t>
      </w:r>
    </w:p>
    <w:p>
      <w:pPr>
        <w:pStyle w:val="Normal"/>
        <w:numPr>
          <w:ilvl w:val="0"/>
          <w:numId w:val="7"/>
        </w:numPr>
        <w:bidi w:val="0"/>
        <w:rPr/>
      </w:pPr>
      <w:r>
        <w:rPr/>
        <w:t>Arbeitsplatz in den Räumlichkeiten der MIBS AG</w:t>
      </w:r>
    </w:p>
    <w:p>
      <w:pPr>
        <w:pStyle w:val="Normal"/>
        <w:numPr>
          <w:ilvl w:val="0"/>
          <w:numId w:val="7"/>
        </w:numPr>
        <w:bidi w:val="0"/>
        <w:rPr/>
      </w:pPr>
      <w:r>
        <w:rPr/>
        <w:t>Laptop</w:t>
      </w:r>
    </w:p>
    <w:p>
      <w:pPr>
        <w:pStyle w:val="Normal"/>
        <w:numPr>
          <w:ilvl w:val="0"/>
          <w:numId w:val="7"/>
        </w:numPr>
        <w:bidi w:val="0"/>
        <w:rPr/>
      </w:pPr>
      <w:r>
        <w:rPr/>
        <w:t>SAP-Server</w:t>
      </w:r>
    </w:p>
    <w:p>
      <w:pPr>
        <w:pStyle w:val="Normal"/>
        <w:bidi w:val="0"/>
        <w:rPr/>
      </w:pPr>
      <w:r>
        <w:rPr/>
      </w:r>
    </w:p>
    <w:p>
      <w:pPr>
        <w:pStyle w:val="Normal"/>
        <w:bidi w:val="0"/>
        <w:rPr/>
      </w:pPr>
      <w:r>
        <w:rPr/>
        <w:t>Software:</w:t>
      </w:r>
    </w:p>
    <w:p>
      <w:pPr>
        <w:pStyle w:val="Normal"/>
        <w:numPr>
          <w:ilvl w:val="0"/>
          <w:numId w:val="8"/>
        </w:numPr>
        <w:bidi w:val="0"/>
        <w:rPr/>
      </w:pPr>
      <w:r>
        <w:rPr/>
        <w:t>Windows 11 Home – Betriebssystem</w:t>
      </w:r>
    </w:p>
    <w:p>
      <w:pPr>
        <w:pStyle w:val="Normal"/>
        <w:numPr>
          <w:ilvl w:val="0"/>
          <w:numId w:val="8"/>
        </w:numPr>
        <w:bidi w:val="0"/>
        <w:rPr/>
      </w:pPr>
      <w:r>
        <w:rPr/>
        <w:t>Visual Studio Code – Entwicklungsumgebung für XML, JavaScript und JSON</w:t>
      </w:r>
    </w:p>
    <w:p>
      <w:pPr>
        <w:pStyle w:val="Normal"/>
        <w:numPr>
          <w:ilvl w:val="0"/>
          <w:numId w:val="8"/>
        </w:numPr>
        <w:bidi w:val="0"/>
        <w:rPr/>
      </w:pPr>
      <w:r>
        <w:rPr/>
        <w:t>Eclipse IDE – Entwicklungsumgebung für CDS und ABAP</w:t>
      </w:r>
    </w:p>
    <w:p>
      <w:pPr>
        <w:pStyle w:val="Normal"/>
        <w:numPr>
          <w:ilvl w:val="0"/>
          <w:numId w:val="8"/>
        </w:numPr>
        <w:bidi w:val="0"/>
        <w:rPr/>
      </w:pPr>
      <w:r>
        <w:rPr/>
        <w:t>Draw.io – Designtool zu erstellen von Grafiken und Diagrammen</w:t>
      </w:r>
    </w:p>
    <w:p>
      <w:pPr>
        <w:pStyle w:val="Normal"/>
        <w:numPr>
          <w:ilvl w:val="0"/>
          <w:numId w:val="8"/>
        </w:numPr>
        <w:bidi w:val="0"/>
        <w:rPr/>
      </w:pPr>
      <w:r>
        <w:rPr/>
        <w:t xml:space="preserve">GitHub - Versionsverwaltung </w:t>
      </w:r>
    </w:p>
    <w:p>
      <w:pPr>
        <w:pStyle w:val="Normal"/>
        <w:numPr>
          <w:ilvl w:val="0"/>
          <w:numId w:val="8"/>
        </w:numPr>
        <w:bidi w:val="0"/>
        <w:rPr/>
      </w:pPr>
      <w:r>
        <w:rPr/>
        <w:t>Microsoft Teams – Kommunikationsanwendung</w:t>
      </w:r>
    </w:p>
    <w:p>
      <w:pPr>
        <w:pStyle w:val="Normal"/>
        <w:numPr>
          <w:ilvl w:val="0"/>
          <w:numId w:val="8"/>
        </w:numPr>
        <w:bidi w:val="0"/>
        <w:rPr/>
      </w:pPr>
      <w:r>
        <w:rPr/>
        <w:t>Microsoft Word – Textbearbeitungstool</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Heading2"/>
        <w:numPr>
          <w:ilvl w:val="1"/>
          <w:numId w:val="11"/>
        </w:numPr>
        <w:rPr/>
      </w:pPr>
      <w:bookmarkStart w:id="39" w:name="_Toc181697560"/>
      <w:bookmarkStart w:id="40" w:name="_Toc181709008"/>
      <w:bookmarkStart w:id="41" w:name="_Toc218703504"/>
      <w:r>
        <w:rPr/>
        <w:t>Zeitplanung</w:t>
      </w:r>
      <w:bookmarkEnd w:id="39"/>
      <w:bookmarkEnd w:id="40"/>
      <w:bookmarkEnd w:id="41"/>
    </w:p>
    <w:tbl>
      <w:tblPr>
        <w:tblStyle w:val="Tabellenraster"/>
        <w:tblW w:w="907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72"/>
        <w:gridCol w:w="4808"/>
        <w:gridCol w:w="1990"/>
      </w:tblGrid>
      <w:tr>
        <w:trPr/>
        <w:tc>
          <w:tcPr>
            <w:tcW w:w="2272"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808"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90"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272"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Wirtschaftlichkeitsbetrachtung</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top w:val="nil"/>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E2EFD9" w:themeFill="accent6" w:themeFillTint="33" w:val="clear"/>
          </w:tcPr>
          <w:p>
            <w:pPr>
              <w:pStyle w:val="Normal"/>
              <w:widowControl/>
              <w:suppressAutoHyphens w:val="true"/>
              <w:spacing w:before="60" w:after="0"/>
              <w:jc w:val="start"/>
              <w:rPr/>
            </w:pPr>
            <w:r>
              <w:rPr>
                <w:rFonts w:eastAsia="Times New Roman" w:cs="Times New Roman"/>
                <w:color w:val="FF0000"/>
                <w:kern w:val="0"/>
                <w:sz w:val="20"/>
                <w:szCs w:val="20"/>
                <w:shd w:fill="auto" w:val="clear"/>
                <w:lang w:val="de-DE" w:eastAsia="ja-JP" w:bidi="ar-SA"/>
              </w:rPr>
              <w:t>Erstellung von Unittests (oder vielleicht Black-/ und White-Box Tests ?)</w:t>
              <w:br/>
              <w:t>ich hatte in dem Antrag Unittests stehen. Soll ich dabei dann bleiben oder kann ich Argumentieren, dass Unittests sich als nicht sinnvoll dargestellt haben und ich dann mit den Black-/ Whitebox Tests gearbeitet habe ?</w:t>
            </w:r>
          </w:p>
        </w:tc>
        <w:tc>
          <w:tcPr>
            <w:tcW w:w="1990" w:type="dxa"/>
            <w:tcBorders>
              <w:top w:val="nil"/>
            </w:tcBorders>
            <w:shd w:color="auto" w:fill="E2EFD9" w:themeFill="accent6" w:themeFillTint="33" w:val="clear"/>
          </w:tcPr>
          <w:p>
            <w:pPr>
              <w:pStyle w:val="Normal"/>
              <w:widowControl/>
              <w:suppressAutoHyphens w:val="true"/>
              <w:spacing w:before="60" w:after="0"/>
              <w:jc w:val="end"/>
              <w:rPr>
                <w:color w:val="FF0000"/>
              </w:rPr>
            </w:pPr>
            <w:r>
              <w:rPr>
                <w:color w:val="FF0000"/>
              </w:rPr>
              <w:t>4h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u w:val="none"/>
                <w:lang w:val="de-DE" w:eastAsia="ja-JP" w:bidi="ar-SA"/>
              </w:rPr>
            </w:pPr>
            <w:r>
              <w:rPr>
                <w:rFonts w:eastAsia="Times New Roman" w:cs="Times New Roman"/>
                <w:kern w:val="0"/>
                <w:sz w:val="20"/>
                <w:szCs w:val="20"/>
                <w:u w:val="none"/>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 xml:space="preserve">8h </w:t>
            </w:r>
            <w:r>
              <w:rPr>
                <w:rFonts w:eastAsia="Times New Roman" w:cs="Times New Roman"/>
                <w:b/>
                <w:bCs/>
                <w:color w:val="FF0000"/>
                <w:kern w:val="0"/>
                <w:sz w:val="20"/>
                <w:szCs w:val="20"/>
                <w:lang w:val="de-DE" w:eastAsia="ja-JP" w:bidi="ar-SA"/>
              </w:rPr>
              <w:t>(12h)</w:t>
            </w:r>
          </w:p>
        </w:tc>
      </w:tr>
      <w:tr>
        <w:trPr/>
        <w:tc>
          <w:tcPr>
            <w:tcW w:w="2272"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Use-Case-Diagramm</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Entity-Relationship Modell</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9h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Nutzeroberfläche</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Ablauflogik</w:t>
            </w:r>
          </w:p>
        </w:tc>
        <w:tc>
          <w:tcPr>
            <w:tcW w:w="1990" w:type="dxa"/>
            <w:tcBorders/>
            <w:shd w:color="auto" w:fill="FFF2CC" w:themeFill="accent4" w:themeFillTint="33" w:val="clear"/>
          </w:tcPr>
          <w:p>
            <w:pPr>
              <w:pStyle w:val="Normal"/>
              <w:widowControl/>
              <w:suppressAutoHyphens w:val="true"/>
              <w:spacing w:before="60" w:after="0"/>
              <w:jc w:val="end"/>
              <w:rPr/>
            </w:pPr>
            <w:r>
              <w:rPr/>
              <w:t>5h</w:t>
            </w:r>
          </w:p>
        </w:tc>
      </w:tr>
      <w:tr>
        <w:trPr/>
        <w:tc>
          <w:tcPr>
            <w:tcW w:w="2272"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Testplanung &amp; Testkonzept</w:t>
            </w:r>
          </w:p>
        </w:tc>
        <w:tc>
          <w:tcPr>
            <w:tcW w:w="1990" w:type="dxa"/>
            <w:tcBorders>
              <w:top w:val="nil"/>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4h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31h</w:t>
            </w:r>
          </w:p>
        </w:tc>
      </w:tr>
      <w:tr>
        <w:trPr/>
        <w:tc>
          <w:tcPr>
            <w:tcW w:w="2272"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272" w:type="dxa"/>
            <w:tcBorders/>
            <w:shd w:color="auto" w:fill="FBE4D5" w:themeFill="accent2" w:themeFillTint="33" w:val="clear"/>
          </w:tcPr>
          <w:p>
            <w:pPr>
              <w:pStyle w:val="Normal"/>
              <w:widowControl/>
              <w:suppressAutoHyphens w:val="true"/>
              <w:spacing w:before="60" w:after="0"/>
              <w:jc w:val="start"/>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jc w:val="start"/>
              <w:rPr/>
            </w:pPr>
            <w:r>
              <w:rPr>
                <w:rFonts w:eastAsia="Times New Roman" w:cs="Times New Roman"/>
                <w:kern w:val="0"/>
                <w:sz w:val="20"/>
                <w:szCs w:val="20"/>
                <w:lang w:val="de-DE" w:eastAsia="ja-JP" w:bidi="ar-SA"/>
              </w:rPr>
              <w:t>Anlegen der Business Configuration Maintenance Objects</w:t>
            </w:r>
          </w:p>
        </w:tc>
        <w:tc>
          <w:tcPr>
            <w:tcW w:w="1990" w:type="dxa"/>
            <w:tcBorders/>
            <w:shd w:color="auto" w:fill="FBE4D5" w:themeFill="accent2" w:themeFillTint="33" w:val="clear"/>
          </w:tcPr>
          <w:p>
            <w:pPr>
              <w:pStyle w:val="Normal"/>
              <w:widowControl/>
              <w:suppressAutoHyphens w:val="true"/>
              <w:spacing w:before="60" w:after="0"/>
              <w:jc w:val="end"/>
              <w:rPr/>
            </w:pPr>
            <w:r>
              <w:rPr/>
              <w:t>3h</w:t>
            </w:r>
          </w:p>
        </w:tc>
      </w:tr>
      <w:tr>
        <w:trPr/>
        <w:tc>
          <w:tcPr>
            <w:tcW w:w="2272"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Implementation der Table Entities &amp; CDS-Views</w:t>
            </w:r>
          </w:p>
        </w:tc>
        <w:tc>
          <w:tcPr>
            <w:tcW w:w="1990" w:type="dxa"/>
            <w:tcBorders>
              <w:top w:val="nil"/>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Erstellen von Behavior-Definitions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des Wizards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24h</w:t>
            </w:r>
          </w:p>
        </w:tc>
      </w:tr>
      <w:tr>
        <w:trPr/>
        <w:tc>
          <w:tcPr>
            <w:tcW w:w="2272"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rPr>
                <w:b/>
                <w:bCs/>
              </w:rPr>
            </w:pPr>
            <w:r>
              <w:rPr>
                <w:b/>
                <w:bCs/>
              </w:rPr>
            </w:r>
          </w:p>
        </w:tc>
      </w:tr>
      <w:tr>
        <w:trPr>
          <w:trHeight w:val="529" w:hRule="atLeast"/>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jc w:val="start"/>
              <w:rPr/>
            </w:pPr>
            <w:r>
              <w:rPr>
                <w:rFonts w:eastAsia="Times New Roman" w:cs="Times New Roman"/>
                <w:color w:val="FF0000"/>
                <w:kern w:val="0"/>
                <w:sz w:val="20"/>
                <w:szCs w:val="20"/>
                <w:lang w:val="de-DE" w:eastAsia="ja-JP" w:bidi="ar-SA"/>
              </w:rPr>
              <w:t>Durchführen von Unittests (Black-/ Whiteboxtests)</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8h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13h</w:t>
            </w:r>
          </w:p>
        </w:tc>
      </w:tr>
      <w:tr>
        <w:trPr/>
        <w:tc>
          <w:tcPr>
            <w:tcW w:w="2272"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808"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90"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1"/>
        </w:numPr>
        <w:rPr/>
      </w:pPr>
      <w:bookmarkStart w:id="42" w:name="_Toc218703505"/>
      <w:r>
        <w:rPr/>
        <w:t>W</w:t>
      </w:r>
      <w:bookmarkEnd w:id="42"/>
      <w:r>
        <w:rPr/>
        <w:t>irtschaftlichkeitsanalyse</w:t>
      </w:r>
    </w:p>
    <w:p>
      <w:pPr>
        <w:pStyle w:val="Heading3"/>
        <w:numPr>
          <w:ilvl w:val="2"/>
          <w:numId w:val="11"/>
        </w:numPr>
        <w:rPr/>
      </w:pPr>
      <w:bookmarkStart w:id="43" w:name="_toc496"/>
      <w:bookmarkEnd w:id="43"/>
      <w:r>
        <w:rPr/>
        <w:t>„</w:t>
      </w:r>
      <w:r>
        <w:rPr/>
        <w:t>Make-or-Buy“ Entscheidung</w:t>
      </w:r>
    </w:p>
    <w:p>
      <w:pPr>
        <w:pStyle w:val="Normal"/>
        <w:spacing w:before="0" w:after="0"/>
        <w:rPr>
          <w:color w:val="000000"/>
        </w:rPr>
      </w:pPr>
      <w:r>
        <w:rPr>
          <w:color w:val="000000"/>
        </w:rPr>
        <w:t>Bei der im Betrieb verwendeten Software, dem MIBS-Virtualdesk, handelt es sich um eine eigens entwickelte Individualsoftware. Da die neue App nahtlos in diese bestehende Plattform integriert werden muss, die alle Anforderungen erfüllen soll, wurde das Projekt als interne Entwicklung realisiert.</w:t>
      </w:r>
    </w:p>
    <w:p>
      <w:pPr>
        <w:pStyle w:val="Heading3"/>
        <w:numPr>
          <w:ilvl w:val="2"/>
          <w:numId w:val="11"/>
        </w:numPr>
        <w:rPr/>
      </w:pPr>
      <w:bookmarkStart w:id="44" w:name="_toc498"/>
      <w:bookmarkEnd w:id="44"/>
      <w:r>
        <w:rPr/>
        <w:t>Projektkosten</w:t>
      </w:r>
    </w:p>
    <w:p>
      <w:pPr>
        <w:pStyle w:val="Normal"/>
        <w:spacing w:before="0" w:after="0"/>
        <w:rPr>
          <w:color w:val="FF0000"/>
        </w:rPr>
      </w:pPr>
      <w:r>
        <w:rPr>
          <w:color w:val="FF0000"/>
        </w:rPr>
        <w:drawing>
          <wp:anchor distT="0" distB="0" distL="0" distR="0" simplePos="0" relativeHeight="9" behindDoc="0" locked="0" layoutInCell="0" allowOverlap="1">
            <wp:simplePos x="0" y="0"/>
            <wp:positionH relativeFrom="column">
              <wp:align>left</wp:align>
            </wp:positionH>
            <wp:positionV relativeFrom="paragraph">
              <wp:posOffset>635</wp:posOffset>
            </wp:positionV>
            <wp:extent cx="3649980" cy="786765"/>
            <wp:effectExtent l="0" t="0" r="0" b="0"/>
            <wp:wrapTopAndBottom/>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6"/>
                    <a:stretch>
                      <a:fillRect/>
                    </a:stretch>
                  </pic:blipFill>
                  <pic:spPr bwMode="auto">
                    <a:xfrm>
                      <a:off x="0" y="0"/>
                      <a:ext cx="3649980" cy="786765"/>
                    </a:xfrm>
                    <a:prstGeom prst="rect">
                      <a:avLst/>
                    </a:prstGeom>
                    <a:noFill/>
                  </pic:spPr>
                </pic:pic>
              </a:graphicData>
            </a:graphic>
          </wp:anchor>
        </w:drawing>
      </w:r>
    </w:p>
    <w:p>
      <w:pPr>
        <w:pStyle w:val="Heading3"/>
        <w:numPr>
          <w:ilvl w:val="2"/>
          <w:numId w:val="11"/>
        </w:numPr>
        <w:rPr/>
      </w:pPr>
      <w:r>
        <w:rPr/>
        <w:t>Jährliche Einsparung</w:t>
      </w:r>
    </w:p>
    <w:p>
      <w:pPr>
        <w:pStyle w:val="Normal"/>
        <w:rPr/>
      </w:pPr>
      <w:r>
        <w:rPr/>
        <w:drawing>
          <wp:anchor distT="0" distB="0" distL="0" distR="0" simplePos="0" relativeHeight="10" behindDoc="0" locked="0" layoutInCell="0" allowOverlap="1">
            <wp:simplePos x="0" y="0"/>
            <wp:positionH relativeFrom="column">
              <wp:align>left</wp:align>
            </wp:positionH>
            <wp:positionV relativeFrom="paragraph">
              <wp:posOffset>635</wp:posOffset>
            </wp:positionV>
            <wp:extent cx="3649980" cy="1160780"/>
            <wp:effectExtent l="0" t="0" r="0" b="0"/>
            <wp:wrapTopAndBottom/>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7"/>
                    <a:stretch>
                      <a:fillRect/>
                    </a:stretch>
                  </pic:blipFill>
                  <pic:spPr bwMode="auto">
                    <a:xfrm>
                      <a:off x="0" y="0"/>
                      <a:ext cx="3649980" cy="1160780"/>
                    </a:xfrm>
                    <a:prstGeom prst="rect">
                      <a:avLst/>
                    </a:prstGeom>
                    <a:noFill/>
                  </pic:spPr>
                </pic:pic>
              </a:graphicData>
            </a:graphic>
          </wp:anchor>
        </w:drawing>
      </w:r>
    </w:p>
    <w:p>
      <w:pPr>
        <w:pStyle w:val="Heading3"/>
        <w:numPr>
          <w:ilvl w:val="2"/>
          <w:numId w:val="11"/>
        </w:numPr>
        <w:rPr/>
      </w:pPr>
      <w:r>
        <w:rPr/>
        <w:t>Amortisationsrechnung</w:t>
      </w:r>
    </w:p>
    <w:p>
      <w:pPr>
        <w:pStyle w:val="Normal"/>
        <w:spacing w:before="0" w:after="0"/>
        <w:rPr>
          <w:color w:val="FF0000"/>
        </w:rPr>
      </w:pPr>
      <w:r>
        <w:rPr>
          <w:color w:val="FF0000"/>
        </w:rPr>
        <w:drawing>
          <wp:anchor distT="0" distB="0" distL="0" distR="0" simplePos="0" relativeHeight="11" behindDoc="0" locked="0" layoutInCell="0" allowOverlap="1">
            <wp:simplePos x="0" y="0"/>
            <wp:positionH relativeFrom="column">
              <wp:align>left</wp:align>
            </wp:positionH>
            <wp:positionV relativeFrom="paragraph">
              <wp:posOffset>635</wp:posOffset>
            </wp:positionV>
            <wp:extent cx="3637915" cy="1502410"/>
            <wp:effectExtent l="0" t="0" r="0" b="0"/>
            <wp:wrapTopAndBottom/>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18"/>
                    <a:stretch>
                      <a:fillRect/>
                    </a:stretch>
                  </pic:blipFill>
                  <pic:spPr bwMode="auto">
                    <a:xfrm>
                      <a:off x="0" y="0"/>
                      <a:ext cx="3637915" cy="1502410"/>
                    </a:xfrm>
                    <a:prstGeom prst="rect">
                      <a:avLst/>
                    </a:prstGeom>
                    <a:noFill/>
                  </pic:spPr>
                </pic:pic>
              </a:graphicData>
            </a:graphic>
          </wp:anchor>
        </w:drawing>
      </w:r>
    </w:p>
    <w:p>
      <w:pPr>
        <w:pStyle w:val="Normal"/>
        <w:spacing w:before="0" w:after="0"/>
        <w:rPr>
          <w:color w:val="FF0000"/>
        </w:rPr>
      </w:pPr>
      <w:r>
        <w:rPr>
          <w:color w:val="FF0000"/>
        </w:rPr>
      </w:r>
    </w:p>
    <w:p>
      <w:pPr>
        <w:pStyle w:val="Heading3"/>
        <w:numPr>
          <w:ilvl w:val="2"/>
          <w:numId w:val="11"/>
        </w:numPr>
        <w:rPr/>
      </w:pPr>
      <w:r>
        <w:rPr/>
        <w:t>Nicht monetäre Vorteile</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Neben den wirtschaftlichen Einsparungen bietet die Einführung des Antragsmanagement-Moduls weitere Vorteile, die sich nicht direkt in monetären Werten ausdrücken lassen.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in Kapitel 2.1 erläuterten Schwachstellen, wie intransparente Genehmigungsprozesse, fehlende Dokumentation und dezentrale Kommunikationswege, werden durch die zentrale Verwaltung aller Anträge im MIBS-Virtualdesk vollständig adressiert. Mitarbeiter können den Status ihrer Anträge jederzeit einsehen, während das Management eine vollständige Übersicht erhält. Die parallele Nutzung von E-Mail, Microsoft Teams und mündlichen Anfragen wird auf einen einheitlichen Kommunikationsweg konsolidiert, wodurch Informationsverluste, Verwaltungsaufwand und Fehleranfälligkeit deutlich reduziert werden.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45" w:name="_Toc218703506"/>
      <w:bookmarkStart w:id="46" w:name="_Toc181709013"/>
      <w:bookmarkStart w:id="47" w:name="_Toc181697565"/>
      <w:r>
        <w:rPr/>
        <w:t>Projektablauf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1"/>
        </w:numPr>
        <w:bidi w:val="0"/>
        <w:rPr/>
      </w:pPr>
      <w:bookmarkStart w:id="48" w:name="_Toc181709015"/>
      <w:bookmarkStart w:id="49" w:name="_Toc218703507"/>
      <w:bookmarkStart w:id="50" w:name="_Toc181697567"/>
      <w:r>
        <w:rPr/>
        <w:t>Projekt Kick-off-Meeting</w:t>
      </w:r>
      <w:bookmarkEnd w:id="48"/>
      <w:bookmarkEnd w:id="50"/>
      <w:r>
        <w:rPr/>
        <w:t xml:space="preserve"> / Aufgabenübergabe</w:t>
      </w:r>
      <w:bookmarkEnd w:id="49"/>
    </w:p>
    <w:p>
      <w:pPr>
        <w:pStyle w:val="BodyText"/>
        <w:bidi w:val="0"/>
        <w:spacing w:before="0" w:after="0"/>
        <w:jc w:val="both"/>
        <w:rPr>
          <w:rFonts w:ascii="Alexandria Light" w:hAnsi="Alexandria Light"/>
          <w:color w:val="000000"/>
          <w:sz w:val="20"/>
          <w:lang w:eastAsia="ja-JP"/>
        </w:rPr>
      </w:pPr>
      <w:r>
        <w:rPr>
          <w:rFonts w:ascii="Alexandria Light" w:hAnsi="Alexandria Light"/>
          <w:color w:val="000000"/>
          <w:sz w:val="20"/>
          <w:lang w:eastAsia="ja-JP"/>
        </w:rPr>
        <w:t>Das Projekt begann mit einem Kick-off-Meeting mit dem Fachbereich, in dem die Aufgabenstellung und die Zielsetzung des Projektes besprochen wurden. Im Rahmen dieses Meetings wurde eine detaillierte Anforderungsliste übergeben, die der Fachbereich im Vorfeld erarbeitet hatte, die als verbindliche Grundlage für die Entwicklung diente. Auf Basis dieser Anforderungsliste wurde anschließend das Pflichtenheft abgeleitet, welches die funktionalen und technischen Anforderungen an die Anwendung definiert.</w:t>
      </w:r>
    </w:p>
    <w:p>
      <w:pPr>
        <w:pStyle w:val="BodyText"/>
        <w:spacing w:before="114" w:after="114"/>
        <w:jc w:val="both"/>
        <w:rPr>
          <w:rFonts w:ascii="Alexandria Light" w:hAnsi="Alexandria Light"/>
          <w:color w:val="000000"/>
          <w:sz w:val="20"/>
          <w:lang w:eastAsia="ja-JP"/>
        </w:rPr>
      </w:pPr>
      <w:r>
        <w:rPr>
          <w:rFonts w:ascii="Alexandria Light" w:hAnsi="Alexandria Light"/>
          <w:color w:val="000000"/>
          <w:sz w:val="20"/>
          <w:lang w:eastAsia="ja-JP"/>
        </w:rPr>
        <w:t>Während der Projektlaufzeit fanden regelmäßige Abstimmungsgespräche mit dem Auftraggeber statt, in denen der Projektfortschritt besprochen und Rückfragen geklärt wurden. Im Verlauf dieser Gespräche kristallisierten sich vereinzelte Unstimmigkeiten zwischen den ursprünglichen Anforderungen und der praktischen Umsetzung heraus, die gemeinsam mit dem Auftraggeber besprochen und bereinigt wurden. Dies stellte sicher, dass die finale Anwendung den tatsächlichen Anforderungen des Fachbereichs entspricht.</w:t>
      </w:r>
    </w:p>
    <w:p>
      <w:pPr>
        <w:pStyle w:val="BodyText"/>
        <w:spacing w:lineRule="auto" w:line="264" w:before="60" w:after="283"/>
        <w:jc w:val="both"/>
        <w:rPr>
          <w:color w:val="000000"/>
        </w:rPr>
      </w:pPr>
      <w:r>
        <w:rPr>
          <w:rFonts w:ascii="Alexandria Light" w:hAnsi="Alexandria Light"/>
          <w:color w:val="000000"/>
          <w:sz w:val="20"/>
          <w:lang w:eastAsia="ja-JP"/>
        </w:rPr>
        <w:t>Die vollständige Anforderungsliste ist dem Anhang beigefügt.</w:t>
      </w:r>
    </w:p>
    <w:p>
      <w:pPr>
        <w:pStyle w:val="Heading3"/>
        <w:numPr>
          <w:ilvl w:val="2"/>
          <w:numId w:val="11"/>
        </w:numPr>
        <w:rPr/>
      </w:pPr>
      <w:bookmarkStart w:id="51" w:name="_Toc181709017"/>
      <w:bookmarkStart w:id="52" w:name="_Toc218703508"/>
      <w:r>
        <w:rPr/>
        <w:t>A</w:t>
      </w:r>
      <w:bookmarkEnd w:id="51"/>
      <w:bookmarkEnd w:id="52"/>
      <w:r>
        <w:rPr/>
        <w:t>nalyse SOLL</w:t>
      </w:r>
    </w:p>
    <w:p>
      <w:pPr>
        <w:pStyle w:val="Normal"/>
        <w:rPr/>
      </w:pPr>
      <w:r>
        <w:rPr/>
        <w:t>Für die Analyse des Soll-Zustands wurden die übergebenen Anforderungen hinsichtlich ihrer technischen Umsetzbarkeit analysiert. Da die definierten Anforderungen nicht mit bestehenden Anwendungen des MIBS-Virtualdesks abgedeckt werden konnten, wurde in Abstimmung mit dem Projektbetreuer und dem Fachbereich entschieden, eine neue App zu entwickeln. Dabei wurde festgelegt, dass sich die neue Anwendung im Aufbau und in der Bedienung an den bestehenden Anwendungen des Virtualdesks orientiert, um eine geringe Einarbeitungszeit und ein einheitliches Benutzererlebnis sicherzustellen.</w:t>
      </w:r>
    </w:p>
    <w:p>
      <w:pPr>
        <w:pStyle w:val="Heading3"/>
        <w:numPr>
          <w:ilvl w:val="2"/>
          <w:numId w:val="11"/>
        </w:numPr>
        <w:rPr/>
      </w:pPr>
      <w:r>
        <w:rPr/>
        <w:t>Analyse Datenbasis</w:t>
      </w:r>
    </w:p>
    <w:p>
      <w:pPr>
        <w:pStyle w:val="BodyText"/>
        <w:jc w:val="both"/>
        <w:rPr>
          <w:rFonts w:ascii="Alexandria Light" w:hAnsi="Alexandria Light"/>
          <w:sz w:val="20"/>
          <w:lang w:eastAsia="ja-JP"/>
        </w:rPr>
      </w:pPr>
      <w:r>
        <w:rPr>
          <w:rFonts w:ascii="Alexandria Light" w:hAnsi="Alexandria Light"/>
          <w:sz w:val="20"/>
          <w:lang w:eastAsia="ja-JP"/>
        </w:rPr>
        <w:t>Um das Datenmodell konzipieren zu können, wurde zunächst die bestehende Datenbasis analysiert, um zu ermitteln, welche benötigten Entitäten bereits vorhanden sind und wiederverwendet werden können. Dabei wurde die Mitarbeiter-Entität (Employee) identifiziert, die bereits im System existiert. Diese Entität wird benötigt, um Informationen des antragstellenden Benutzers sowie der zuständigen Genehmiger abzurufen und mit den übrigen Entitäten zu verknüpfen. Alle weiteren Entitäten mussten neu konzipiert werden, da diese anwendungsspezifische Informationen persistieren, die bisher nicht im System vorhanden waren.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Da kein bestehendes Berechtigungskonzept die Anforderungen abdecken konnte, wurde ein eigenes zweistufiges Berechtigungskonzept entwickelt.</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erste Ebene regelt di</w:t>
      </w:r>
      <w:r>
        <w:rPr>
          <w:rFonts w:ascii="Alexandria Light" w:hAnsi="Alexandria Light"/>
          <w:b w:val="false"/>
          <w:bCs w:val="false"/>
          <w:sz w:val="20"/>
          <w:lang w:eastAsia="ja-JP"/>
        </w:rPr>
        <w:t xml:space="preserve">e </w:t>
      </w:r>
      <w:r>
        <w:rPr>
          <w:rStyle w:val="Strong"/>
          <w:rFonts w:ascii="Alexandria Light" w:hAnsi="Alexandria Light"/>
          <w:b w:val="false"/>
          <w:bCs w:val="false"/>
          <w:sz w:val="20"/>
          <w:lang w:eastAsia="ja-JP"/>
        </w:rPr>
        <w:t>Beantragungsberechtigung</w:t>
      </w:r>
      <w:r>
        <w:rPr>
          <w:rFonts w:ascii="Alexandria Light" w:hAnsi="Alexandria Light"/>
          <w:sz w:val="20"/>
          <w:lang w:eastAsia="ja-JP"/>
        </w:rPr>
        <w:t>. Mitarbeiter werden hierfür sogenannten Beantragungsteams zugewiesen, die festlegen, welche Antragskategorien ein Mitarbeiter stellen darf. So wird beispielsweise sichergestellt, dass Auszubildende ausschließlich Kategorien beantragen können, für die sie berechtigt sind. Ein Mitarbeiter kann dabei mehreren Beantragungsteams zugeordnet sein.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zweite Ebene regelt die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Genehmigungsberechtigung</w:t>
      </w:r>
      <w:r>
        <w:rPr>
          <w:rFonts w:ascii="Alexandria Light" w:hAnsi="Alexandria Light"/>
          <w:b w:val="false"/>
          <w:bCs w:val="false"/>
          <w:sz w:val="20"/>
          <w:lang w:eastAsia="ja-JP"/>
        </w:rPr>
        <w:t>. A</w:t>
      </w:r>
      <w:r>
        <w:rPr>
          <w:rFonts w:ascii="Alexandria Light" w:hAnsi="Alexandria Light"/>
          <w:sz w:val="20"/>
          <w:lang w:eastAsia="ja-JP"/>
        </w:rPr>
        <w:t>nalog dazu werden Mitarbeiter sogenannten Genehmigungsteams zugewiesen, die an bestimmte Antragskategorien gekoppelt sind. Dies stellt sicher, dass bei der Erstellung eines Antrags nur Personen als Genehmiger zur Auswahl stehen, die für die jeweilige Kategorie berechtigt sind. Auch hier kann ein Mitarbeiter mehreren Genehmigungsteams angehören.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Durch diese Trennung der Berechtigungsebenen wird sowohl die Antragsstellung als auch der Genehmigungsprozess klar strukturiert und auf die jeweiligen Zuständigkeiten der Mitarbeiter eingeschränkt.</w:t>
      </w:r>
    </w:p>
    <w:p>
      <w:pPr>
        <w:pStyle w:val="Heading3"/>
        <w:numPr>
          <w:ilvl w:val="2"/>
          <w:numId w:val="11"/>
        </w:numPr>
        <w:rPr/>
      </w:pPr>
      <w:r>
        <w:rPr/>
        <w:t>Planung</w:t>
      </w:r>
    </w:p>
    <w:p>
      <w:pPr>
        <w:pStyle w:val="Normal"/>
        <w:rPr>
          <w:color w:val="000000"/>
          <w:lang w:eastAsia="de-DE"/>
        </w:rPr>
      </w:pPr>
      <w:r>
        <w:rPr>
          <w:color w:val="000000"/>
          <w:lang w:eastAsia="de-DE"/>
        </w:rPr>
        <w:t>Nach der Projektvorbereitung wurden die nächsten Schritte innerhalb des gesetzten Zeitrahmen und unter Berücksichtigung des gewählten Vorgehensmodell und der Ressourcenplanung aus Kapitel 3 in eine konkretere Tag-genaue Planung umgesetzt, um so den Fortschritt besser überwachen zu können.</w:t>
      </w:r>
    </w:p>
    <w:p>
      <w:pPr>
        <w:pStyle w:val="Normal"/>
        <w:rPr>
          <w:color w:val="000000"/>
          <w:lang w:eastAsia="de-DE"/>
        </w:rPr>
      </w:pPr>
      <w:r>
        <w:rPr>
          <w:color w:val="000000"/>
          <w:lang w:eastAsia="de-DE"/>
        </w:rPr>
      </w:r>
    </w:p>
    <w:p>
      <w:pPr>
        <w:pStyle w:val="Heading2"/>
        <w:numPr>
          <w:ilvl w:val="1"/>
          <w:numId w:val="11"/>
        </w:numPr>
        <w:rPr>
          <w:lang w:eastAsia="de-DE"/>
        </w:rPr>
      </w:pPr>
      <w:bookmarkStart w:id="53" w:name="_Toc218703509"/>
      <w:r>
        <w:rPr>
          <w:lang w:eastAsia="de-DE"/>
        </w:rPr>
        <w:t>Konzept</w:t>
      </w:r>
      <w:bookmarkEnd w:id="53"/>
      <w:r>
        <w:rPr>
          <w:lang w:eastAsia="de-DE"/>
        </w:rPr>
        <w:t>ion</w:t>
      </w:r>
    </w:p>
    <w:p>
      <w:pPr>
        <w:pStyle w:val="Normal"/>
        <w:rPr/>
      </w:pPr>
      <w:r>
        <w:rPr/>
        <w:t>Für die Erstellung des technischen Konzepts wurde auf das Anforderungsdokument und das Pflichtenheft Bezug genommen. Für die Erstellung des technischen Konzepts lag aus bereits vergangenen Projekten ein gut strukturiertes Vorlagenkonzept vor. Ziel des technischen Konzeptes ist es, einen gut strukturierten Leitfaden für die Entwicklung zu erstellen. Nach Erstellung dieses Dokumentes wurde dieses als Grundlage zur Entwicklung benutzt.</w:t>
      </w:r>
    </w:p>
    <w:p>
      <w:pPr>
        <w:pStyle w:val="Heading3"/>
        <w:numPr>
          <w:ilvl w:val="2"/>
          <w:numId w:val="11"/>
        </w:numPr>
        <w:rPr/>
      </w:pPr>
      <w:bookmarkStart w:id="54" w:name="_Toc218703510"/>
      <w:r>
        <w:rPr/>
        <w:t>K</w:t>
      </w:r>
      <w:bookmarkEnd w:id="54"/>
      <w:r>
        <w:rPr/>
        <w:t>onzeption des Datenmodells</w:t>
      </w:r>
    </w:p>
    <w:p>
      <w:pPr>
        <w:pStyle w:val="BodyText"/>
        <w:spacing w:before="114" w:after="114"/>
        <w:rPr>
          <w:rFonts w:ascii="Alexandria Light" w:hAnsi="Alexandria Light"/>
          <w:sz w:val="20"/>
          <w:lang w:eastAsia="ja-JP"/>
        </w:rPr>
      </w:pPr>
      <w:r>
        <w:rPr>
          <w:rFonts w:ascii="Alexandria Light" w:hAnsi="Alexandria Light"/>
          <w:sz w:val="20"/>
          <w:lang w:eastAsia="ja-JP"/>
        </w:rPr>
        <w:t>Das Datenmodell bildet den zentralen Bestandteil der Anwendung und wurde auf Basis des SAP RAP Frameworks entwickelt. Für die Datenhaltung wurde bewusst auf sogenannte Table Entities gesetzt, die mithilfe von CDS (Core Data Services) definiert werden und auf der SAP HANA Datenbanktechnologie basieren.</w:t>
      </w:r>
    </w:p>
    <w:p>
      <w:pPr>
        <w:pStyle w:val="BodyText"/>
        <w:spacing w:before="0" w:after="0"/>
        <w:rPr>
          <w:rFonts w:ascii="Alexandria Light" w:hAnsi="Alexandria Light"/>
          <w:sz w:val="20"/>
          <w:szCs w:val="20"/>
        </w:rPr>
      </w:pPr>
      <w:r>
        <w:rPr>
          <w:rFonts w:ascii="Alexandria Light" w:hAnsi="Alexandria Light"/>
          <w:sz w:val="20"/>
          <w:szCs w:val="20"/>
          <w:lang w:eastAsia="ja-JP"/>
        </w:rPr>
        <w:t xml:space="preserve">Die Alternative wäre der klassische Ansatz gewesen, DDIC-Tabellen anzulegen und darauf aufbauend separate CDS Views zu definieren. Durch die Verwendung von Table Entities konnte diese zusätzliche Abstraktionsebene eingespart werden, da Datenbankdefinition und CDS-Annotationen direkt auf derselben Ebene zusammengeführt werden. Dies ermöglicht es, Beziehungen zwischen den Entitäten bereits auf der untersten Ebene des Datenmodells zu beschreiben, ohne zusätzliche View-Schichten pflegen zu müssen. </w:t>
      </w:r>
      <w:r>
        <w:rPr>
          <w:rFonts w:ascii="Alexandria Light" w:hAnsi="Alexandria Light"/>
          <w:sz w:val="20"/>
          <w:szCs w:val="20"/>
        </w:rPr>
        <w:t>Um das Verhalten des Business Objektes zu beschreiben, wird auf Basis der Table Entities eine Behavior Definition angelegt. Diese wird im folgenden Kapitel zur Konzeption der Programmlogik detailliert beschrieben.</w:t>
      </w:r>
      <w:r>
        <w:rPr>
          <w:rFonts w:ascii="Alexandria Light" w:hAnsi="Alexandria Light"/>
          <w:sz w:val="20"/>
          <w:szCs w:val="20"/>
          <w:lang w:eastAsia="ja-JP"/>
        </w:rPr>
        <w:t xml:space="preserve"> Durch dieses Verfahren wird der Entwicklungsaufwand deutlich reduziert, da mehrere CDS View-Ebenen, die im klassischen RAP Ansatz notwendig wären, vollständig entfallen.</w:t>
      </w:r>
    </w:p>
    <w:p>
      <w:pPr>
        <w:pStyle w:val="BodyText"/>
        <w:spacing w:before="114" w:after="114"/>
        <w:rPr>
          <w:rFonts w:ascii="Alexandria Light" w:hAnsi="Alexandria Light"/>
          <w:sz w:val="20"/>
          <w:lang w:eastAsia="ja-JP"/>
        </w:rPr>
      </w:pPr>
      <w:r>
        <w:rPr>
          <w:rFonts w:ascii="Alexandria Light" w:hAnsi="Alexandria Light"/>
          <w:sz w:val="20"/>
          <w:lang w:eastAsia="ja-JP"/>
        </w:rPr>
        <w:t>Die Entscheidung für Table Entities begründet sich durch folgende Vorteile gegenüber dem klassischen Ansatz:</w:t>
      </w:r>
    </w:p>
    <w:p>
      <w:pPr>
        <w:pStyle w:val="BodyText"/>
        <w:spacing w:before="0" w:after="283"/>
        <w:rPr>
          <w:rFonts w:ascii="Alexandria Light" w:hAnsi="Alexandria Light"/>
          <w:sz w:val="20"/>
          <w:lang w:eastAsia="ja-JP"/>
        </w:rPr>
      </w:pPr>
      <w:commentRangeStart w:id="0"/>
      <w:r>
        <w:rPr>
          <w:rFonts w:ascii="Alexandria Light" w:hAnsi="Alexandria Light"/>
          <w:sz w:val="20"/>
          <w:lang w:eastAsia="ja-JP"/>
        </w:rPr>
        <w:t>Erstens bieten Table Entities eine höhere Abstraktionsebene, da Datenbankstruktur und CDS-Annotationen in einer einzigen Definition zusammengefasst werden. Zweitens können Beziehungen zwischen Entitäten direkt in der Datenbankdefinition beschrieben werden, was die Übersichtlichkeit und Wartbarkeit des Datenmodells deutlich verbessert. Drittens entsprechen Table Entities dem modernen SAP-Entwicklungsstandard und sind nativ in das RAP Framework integriert, wodurch eine zukunftssichere und konsistente Entwicklung gewährleistet wird.</w:t>
      </w:r>
    </w:p>
    <w:p>
      <w:pPr>
        <w:pStyle w:val="Heading3"/>
        <w:numPr>
          <w:ilvl w:val="2"/>
          <w:numId w:val="11"/>
        </w:numPr>
        <w:rPr/>
      </w:pPr>
      <w:r>
        <w:rPr/>
        <w:t>Konzeption des Berechtigungskonzepts</w:t>
      </w:r>
    </w:p>
    <w:p>
      <w:pPr>
        <w:pStyle w:val="BodyText"/>
        <w:rPr>
          <w:rFonts w:ascii="Alexandria Light" w:hAnsi="Alexandria Light"/>
          <w:sz w:val="20"/>
          <w:lang w:eastAsia="ja-JP"/>
        </w:rPr>
      </w:pPr>
      <w:r>
        <w:rPr>
          <w:rFonts w:ascii="Alexandria Light" w:hAnsi="Alexandria Light"/>
          <w:sz w:val="20"/>
          <w:lang w:eastAsia="ja-JP"/>
        </w:rPr>
        <w:t>Das in Kapitel 4.1.2 beschriebene zweistufige Berechtigungskonzept wird über dedizierte Entitäten im Datenmodell abgebildet. Um die Verwaltung dieser Entitäten zu ermöglichen, werden sowohl die</w:t>
      </w:r>
      <w:r>
        <w:rPr>
          <w:rFonts w:ascii="Alexandria Light" w:hAnsi="Alexandria Light"/>
          <w:b w:val="false"/>
          <w:bCs w:val="false"/>
          <w:sz w:val="20"/>
          <w:lang w:eastAsia="ja-JP"/>
        </w:rPr>
        <w:t xml:space="preserve"> Beantragungsteams als auch die Genehmigungsteams als sogenannte </w:t>
      </w:r>
      <w:r>
        <w:rPr>
          <w:rStyle w:val="Strong"/>
          <w:rFonts w:ascii="Alexandria Light" w:hAnsi="Alexandria Light"/>
          <w:b w:val="false"/>
          <w:bCs w:val="false"/>
          <w:sz w:val="20"/>
          <w:lang w:eastAsia="ja-JP"/>
        </w:rPr>
        <w:t>Business Configuration Maintenance Objekte</w:t>
      </w:r>
      <w:r>
        <w:rPr>
          <w:rFonts w:ascii="Alexandria Light" w:hAnsi="Alexandria Light"/>
          <w:b w:val="false"/>
          <w:bCs w:val="false"/>
          <w:sz w:val="20"/>
          <w:lang w:eastAsia="ja-JP"/>
        </w:rPr>
        <w:t xml:space="preserve"> bereitgestellt.</w:t>
      </w:r>
    </w:p>
    <w:p>
      <w:pPr>
        <w:pStyle w:val="BodyText"/>
        <w:spacing w:lineRule="auto" w:line="264" w:before="60" w:after="283"/>
        <w:jc w:val="both"/>
        <w:rPr>
          <w:rFonts w:ascii="Alexandria Light" w:hAnsi="Alexandria Light"/>
          <w:sz w:val="20"/>
          <w:lang w:eastAsia="ja-JP"/>
        </w:rPr>
      </w:pPr>
      <w:r>
        <w:rPr>
          <w:rFonts w:ascii="Alexandria Light" w:hAnsi="Alexandria Light"/>
          <w:sz w:val="20"/>
          <w:lang w:eastAsia="ja-JP"/>
        </w:rPr>
        <w:t>Business Configuration Maintenance Objekte sind ein SAP-Standard, der es ermöglicht, Konfigurationsdaten über eine standardisierte Fiori-Oberfläche zu pflegen, ohne dass hierfür eine separate Anwendung entwickelt werden muss. Über diese Oberfläche können die zuständigen Administratoren die Teams verwalten, Mitarbeiter den jeweiligen Beantragungsteams und Genehmigungsteams zuordnen sowie die Verknüpfung zwischen Teams und Antragskategorien pflegen.</w:t>
      </w:r>
    </w:p>
    <w:p>
      <w:pPr>
        <w:pStyle w:val="BodyText"/>
        <w:spacing w:lineRule="auto" w:line="264" w:before="60" w:after="283"/>
        <w:jc w:val="both"/>
        <w:rPr/>
      </w:pPr>
      <w:r>
        <w:rPr>
          <w:rFonts w:ascii="Alexandria Light" w:hAnsi="Alexandria Light"/>
          <w:sz w:val="20"/>
          <w:lang w:eastAsia="ja-JP"/>
        </w:rPr>
        <w:t>Durch diesen Ansatz wird die Verwaltung des Berechtigungskonzepts vollständig vom Entwicklungsprozess entkoppelt und kann eigenständig durch den Fachbereich gepflegt werden, ohne dass Anpassungen am Quellcode erforderlich sind.</w:t>
      </w:r>
    </w:p>
    <w:p>
      <w:pPr>
        <w:pStyle w:val="Heading3"/>
        <w:numPr>
          <w:ilvl w:val="2"/>
          <w:numId w:val="11"/>
        </w:numPr>
        <w:rPr/>
      </w:pPr>
      <w:r>
        <w:rPr/>
        <w:t>Konzeption der Programmlogik</w:t>
      </w:r>
    </w:p>
    <w:p>
      <w:pPr>
        <w:pStyle w:val="BodyText"/>
        <w:rPr>
          <w:rFonts w:ascii="Alexandria Light" w:hAnsi="Alexandria Light"/>
          <w:b w:val="false"/>
          <w:bCs w:val="false"/>
          <w:sz w:val="20"/>
          <w:lang w:eastAsia="ja-JP"/>
        </w:rPr>
      </w:pPr>
      <w:r>
        <w:rPr>
          <w:rFonts w:ascii="Alexandria Light" w:hAnsi="Alexandria Light"/>
          <w:b w:val="false"/>
          <w:bCs w:val="false"/>
          <w:sz w:val="20"/>
          <w:lang w:eastAsia="ja-JP"/>
        </w:rPr>
        <w:t>Die Programmlogik der Anwendung wird im SAP RAP Framework über sogenannte Behavior Definitions beschrieben. Eine Behavior Definition legt fest, welche Operationen auf einem Business Objekt erlaubt sind und wie sich dieses Objekt bei bestimmten Aktionen verhält.</w:t>
      </w:r>
    </w:p>
    <w:p>
      <w:pPr>
        <w:pStyle w:val="BodyText"/>
        <w:spacing w:lineRule="auto" w:line="264" w:before="114" w:after="114"/>
        <w:jc w:val="both"/>
        <w:rPr>
          <w:rFonts w:ascii="Alexandria Light" w:hAnsi="Alexandria Light"/>
          <w:sz w:val="20"/>
          <w:lang w:eastAsia="ja-JP"/>
        </w:rPr>
      </w:pPr>
      <w:r>
        <w:rPr>
          <w:rFonts w:ascii="Alexandria Light" w:hAnsi="Alexandria Light"/>
          <w:b w:val="false"/>
          <w:bCs w:val="false"/>
          <w:sz w:val="20"/>
          <w:lang w:eastAsia="ja-JP"/>
        </w:rPr>
        <w:t xml:space="preserve">Für die Implementierung wurde der </w:t>
      </w:r>
      <w:r>
        <w:rPr>
          <w:rStyle w:val="Strong"/>
          <w:rFonts w:ascii="Alexandria Light" w:hAnsi="Alexandria Light"/>
          <w:b w:val="false"/>
          <w:bCs w:val="false"/>
          <w:sz w:val="20"/>
          <w:lang w:eastAsia="ja-JP"/>
        </w:rPr>
        <w:t>Managed Ansatz</w:t>
      </w:r>
      <w:r>
        <w:rPr>
          <w:rFonts w:ascii="Alexandria Light" w:hAnsi="Alexandria Light"/>
          <w:b w:val="false"/>
          <w:bCs w:val="false"/>
          <w:sz w:val="20"/>
          <w:lang w:eastAsia="ja-JP"/>
        </w:rPr>
        <w:t xml:space="preserve"> des RAP Frameworks gewählt. Bei diesem Ansatz übernimmt das Framework automatisch die Standardimplementierung der definierten Operationen, sodass grundlegende Datenbankoperationen nicht manuell implementiert werden müssen. Dies reduziert den Entwicklungsaufwand erheblich und ermöglicht es, sich auf die anwendungsspezifische Logik zu konzentrieren.</w:t>
      </w:r>
    </w:p>
    <w:p>
      <w:pPr>
        <w:pStyle w:val="BodyText"/>
        <w:spacing w:lineRule="auto" w:line="264" w:before="60" w:after="283"/>
        <w:jc w:val="both"/>
        <w:rPr>
          <w:rFonts w:ascii="Alexandria Light" w:hAnsi="Alexandria Light"/>
          <w:sz w:val="20"/>
          <w:lang w:eastAsia="ja-JP"/>
        </w:rPr>
      </w:pPr>
      <w:r>
        <w:rPr>
          <w:rFonts w:ascii="Alexandria Light" w:hAnsi="Alexandria Light"/>
          <w:b w:val="false"/>
          <w:bCs w:val="false"/>
          <w:sz w:val="20"/>
          <w:lang w:eastAsia="ja-JP"/>
        </w:rPr>
        <w:t xml:space="preserve">In den Behavior Definitions wurden die Operationen </w:t>
      </w:r>
      <w:r>
        <w:rPr>
          <w:rStyle w:val="Strong"/>
          <w:rFonts w:ascii="Alexandria Light" w:hAnsi="Alexandria Light"/>
          <w:b w:val="false"/>
          <w:bCs w:val="false"/>
          <w:sz w:val="20"/>
          <w:lang w:eastAsia="ja-JP"/>
        </w:rPr>
        <w:t>Create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Update</w:t>
      </w:r>
      <w:r>
        <w:rPr>
          <w:rFonts w:ascii="Alexandria Light" w:hAnsi="Alexandria Light"/>
          <w:b w:val="false"/>
          <w:bCs w:val="false"/>
          <w:sz w:val="20"/>
          <w:lang w:eastAsia="ja-JP"/>
        </w:rPr>
        <w:t xml:space="preserve"> und </w:t>
      </w:r>
      <w:r>
        <w:rPr>
          <w:rStyle w:val="Strong"/>
          <w:rFonts w:ascii="Alexandria Light" w:hAnsi="Alexandria Light"/>
          <w:b w:val="false"/>
          <w:bCs w:val="false"/>
          <w:sz w:val="20"/>
          <w:lang w:eastAsia="ja-JP"/>
        </w:rPr>
        <w:t>Delete</w:t>
      </w:r>
      <w:r>
        <w:rPr>
          <w:rFonts w:ascii="Alexandria Light" w:hAnsi="Alexandria Light"/>
          <w:b w:val="false"/>
          <w:bCs w:val="false"/>
          <w:sz w:val="20"/>
          <w:lang w:eastAsia="ja-JP"/>
        </w:rPr>
        <w:t xml:space="preserve"> für die jeweiligen Business Objekte definiert. Dadurch können Mitarbeiter neue Anträge erstellen, bestehende Anträge bearbeiten und Anträge löschen.</w:t>
      </w:r>
    </w:p>
    <w:p>
      <w:pPr>
        <w:pStyle w:val="BodyText"/>
        <w:spacing w:lineRule="auto" w:line="264" w:before="60" w:after="283"/>
        <w:jc w:val="both"/>
        <w:rPr>
          <w:rFonts w:ascii="Alexandria Light" w:hAnsi="Alexandria Light"/>
          <w:b w:val="false"/>
          <w:bCs w:val="false"/>
          <w:sz w:val="20"/>
          <w:lang w:eastAsia="ja-JP"/>
        </w:rPr>
      </w:pPr>
      <w:r>
        <w:rPr>
          <w:rFonts w:ascii="Alexandria Light" w:hAnsi="Alexandria Light"/>
          <w:b w:val="false"/>
          <w:bCs w:val="false"/>
          <w:sz w:val="20"/>
          <w:lang w:eastAsia="ja-JP"/>
        </w:rPr>
        <w:t>Darüber hinaus wurden eigene Validierungen und Actions implementiert, die über den Standard des Managed Frameworks hinausgehen. Die Validierungen stellen sicher, dass Eingaben der Benutzer serverseitig geprüft werden, bevor sie in der Datenbank persistiert werden. Fehlerhafte Eingaben werden dabei direkt über den OData-Service an die Benutzeroberfläche zurückgegeben, wodurch eine konsistente und zentral verwaltete Validierungslogik gewährleistet wird. Für den Genehmigungsprozess wurden zudem eigene Actions definiert, über die das Management eingereichte Anträge genehmigen oder ablehnen kann. Diese Actions aktualisieren den Status des jeweiligen Antrages entsprechend und sind ausschließlich für Benutzer mit Genehmigungsberechtigung ausführbar.</w:t>
      </w:r>
    </w:p>
    <w:p>
      <w:pPr>
        <w:pStyle w:val="Heading3"/>
        <w:numPr>
          <w:ilvl w:val="2"/>
          <w:numId w:val="11"/>
        </w:numPr>
        <w:rPr/>
      </w:pPr>
      <w:r>
        <w:rPr/>
        <w:t xml:space="preserve">Konzeption des Frontends </w:t>
      </w:r>
    </w:p>
    <w:p>
      <w:pPr>
        <w:pStyle w:val="BodyText"/>
        <w:rPr>
          <w:rFonts w:ascii="Alexandria Light" w:hAnsi="Alexandria Light"/>
          <w:sz w:val="20"/>
          <w:lang w:eastAsia="ja-JP"/>
        </w:rPr>
      </w:pPr>
      <w:r>
        <w:rPr>
          <w:rFonts w:ascii="Alexandria Light" w:hAnsi="Alexandria Light"/>
          <w:sz w:val="20"/>
          <w:lang w:eastAsia="ja-JP"/>
        </w:rPr>
        <w:t>Als Grundlage für die Benutzeroberfläche wurde das SAP Fiori Design Framework gewählt, da es den aktuellen SAP-Designstandard darstellt und eine konsistente Benutzeroberfläche gewährleistet, die sich nahtlos in den bestehenden MIBS-Virtualdesk einfügt. Die Oberfläche wurde für zwei Benutzerrollen konzipiert: Mitarbeiter, die Anträge stellen, und das Management, das Anträge einsehen, genehmigen oder ablehnen kann. Für beide Ansichten wurden im Vorfeld Mockups erstellt, die als Grundlage für die spätere Implementierung dienen und dem Auftraggeber zur Abstimmung vorgelegt wurden.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Listenansicht der Anträge wird über eine SAP Fiori Elements List Extension realisiert, die auf der vom RAP Framework bereitgestellten Standardtabelle basiert. Um den Mitarbeitern einen geführten Prozess für die Antragsstellung bereitzustellen, wird der standardmäßige „Anlegen"-Button der Tabelle über einen Extension Point überschrieben und auf einen eigens entwickelten UI5 Wizard weitergeleitet.</w:t>
      </w:r>
    </w:p>
    <w:p>
      <w:pPr>
        <w:pStyle w:val="BodyText"/>
        <w:spacing w:lineRule="auto" w:line="264" w:before="60" w:after="283"/>
        <w:jc w:val="both"/>
        <w:rPr/>
      </w:pPr>
      <w:r>
        <w:rPr>
          <w:rFonts w:ascii="Alexandria Light" w:hAnsi="Alexandria Light"/>
          <w:sz w:val="20"/>
          <w:lang w:eastAsia="ja-JP"/>
        </w:rPr>
        <w:t>Der Wizard führt den Mitarbeiter schrittweise durch den Antragsprozess und passt sich dynamisch an die gewählte Antragskategorie an. Bei kostenrelevanten Kategorien wird ein zusätzlicher Schritt eingeblendet, in dem die voraussichtlichen Kosten erfasst werden. Für die direkte Kommunikation zwischen dem Wizard und dem RAP Backend ist der Einsatz von SAP Fiori Elements Macros vorgesehen, wodurch Datensätze direkt über den OData-Service angelegt werden und die im Backend definierten Validierungen und Berechtigungen greifen. Die detaillierte technische Umsetzung dieser Komponenten wird im Kapitel zur Implementierung beschrieben.</w:t>
      </w:r>
    </w:p>
    <w:p>
      <w:pPr>
        <w:pStyle w:val="Heading3"/>
        <w:numPr>
          <w:ilvl w:val="2"/>
          <w:numId w:val="11"/>
        </w:numPr>
        <w:rPr/>
      </w:pPr>
      <w:r>
        <w:rPr/>
        <w:t>Erstellung einer Testmatrix</w:t>
      </w:r>
    </w:p>
    <w:p>
      <w:pPr>
        <w:pStyle w:val="Normal"/>
        <w:rPr>
          <w:color w:val="FF0000"/>
        </w:rPr>
      </w:pPr>
      <w:r>
        <w:rPr>
          <w:color w:val="FF0000"/>
        </w:rPr>
        <w:t>(╥</w:t>
      </w:r>
      <w:r>
        <w:rPr>
          <w:color w:val="FF0000"/>
        </w:rPr>
        <w:t>﹏╥</w:t>
      </w:r>
      <w:r>
        <w:rPr>
          <w:color w:val="FF0000"/>
        </w:rPr>
        <w:t>)</w:t>
      </w:r>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1"/>
        </w:numPr>
        <w:rPr/>
      </w:pPr>
      <w:bookmarkStart w:id="55" w:name="_Toc218703511"/>
      <w:r>
        <w:rPr/>
        <w:t>Testkonzept</w:t>
      </w:r>
      <w:bookmarkEnd w:id="55"/>
    </w:p>
    <w:p>
      <w:pPr>
        <w:pStyle w:val="Normal"/>
        <w:rPr>
          <w:color w:val="FF0000"/>
        </w:rPr>
      </w:pPr>
      <w:r>
        <w:rPr>
          <w:color w:val="FF0000"/>
        </w:rPr>
        <w:t>(╥</w:t>
      </w:r>
      <w:r>
        <w:rPr>
          <w:color w:val="FF0000"/>
        </w:rPr>
        <w:t>﹏╥</w:t>
      </w:r>
      <w:r>
        <w:rPr>
          <w:color w:val="FF0000"/>
        </w:rPr>
        <w:t>)</w:t>
      </w:r>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6"/>
        </w:numPr>
        <w:rPr>
          <w:color w:val="0070C0"/>
        </w:rPr>
      </w:pPr>
      <w:r>
        <w:rPr>
          <w:color w:val="0070C0"/>
        </w:rPr>
        <w:t>Unit-Tests (gab es eine Zielabdeckung? Mocking von Daten?)</w:t>
      </w:r>
    </w:p>
    <w:p>
      <w:pPr>
        <w:pStyle w:val="ListParagraph"/>
        <w:numPr>
          <w:ilvl w:val="0"/>
          <w:numId w:val="6"/>
        </w:numPr>
        <w:rPr>
          <w:color w:val="0070C0"/>
        </w:rPr>
      </w:pPr>
      <w:r>
        <w:rPr>
          <w:color w:val="0070C0"/>
        </w:rPr>
        <w:t>White Box Test mit Testmatrix (Woher kommen die Testfälle? Abgeleitet aus Anforderung, Vorgegeben? Sind ausreichend Testdaten vorhanden?)</w:t>
      </w:r>
    </w:p>
    <w:p>
      <w:pPr>
        <w:pStyle w:val="ListParagraph"/>
        <w:numPr>
          <w:ilvl w:val="0"/>
          <w:numId w:val="6"/>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6"/>
        </w:numPr>
        <w:rPr>
          <w:color w:val="0070C0"/>
        </w:rPr>
      </w:pPr>
      <w:r>
        <w:rPr>
          <w:color w:val="0070C0"/>
        </w:rPr>
        <w:t>Abnahmetest (Wer nimmt wann die Umsetzung ab?)</w:t>
      </w:r>
      <w:commentRangeEnd w:id="0"/>
      <w:r>
        <w:commentReference w:id="0"/>
      </w:r>
      <w:r>
        <w:rPr>
          <w:color w:val="0070C0"/>
        </w:rPr>
      </w:r>
    </w:p>
    <w:p>
      <w:pPr>
        <w:pStyle w:val="Heading2"/>
        <w:numPr>
          <w:ilvl w:val="1"/>
          <w:numId w:val="11"/>
        </w:numPr>
        <w:rPr>
          <w:lang w:eastAsia="de-DE"/>
        </w:rPr>
      </w:pPr>
      <w:bookmarkStart w:id="56" w:name="_Toc218703512"/>
      <w:bookmarkStart w:id="57" w:name="_Toc181697569"/>
      <w:bookmarkStart w:id="58" w:name="_Toc181709019"/>
      <w:r>
        <w:rPr>
          <w:lang w:eastAsia="de-DE"/>
        </w:rPr>
        <w:t>E</w:t>
      </w:r>
      <w:bookmarkEnd w:id="56"/>
      <w:bookmarkEnd w:id="57"/>
      <w:bookmarkEnd w:id="58"/>
      <w:r>
        <w:rPr>
          <w:lang w:eastAsia="de-DE"/>
        </w:rPr>
        <w:t>ntwicklung</w:t>
      </w:r>
    </w:p>
    <w:p>
      <w:pPr>
        <w:pStyle w:val="BodyText"/>
        <w:rPr>
          <w:rFonts w:ascii="Alexandria Light" w:hAnsi="Alexandria Light"/>
          <w:b w:val="false"/>
          <w:bCs w:val="false"/>
          <w:color w:val="000000"/>
          <w:sz w:val="20"/>
          <w:lang w:eastAsia="de-DE"/>
        </w:rPr>
      </w:pPr>
      <w:r>
        <w:rPr>
          <w:rFonts w:ascii="Alexandria Light" w:hAnsi="Alexandria Light"/>
          <w:b w:val="false"/>
          <w:bCs w:val="false"/>
          <w:color w:val="000000"/>
          <w:sz w:val="20"/>
          <w:lang w:eastAsia="de-DE"/>
        </w:rPr>
        <w:t>Die Implementierung erfolgte in drei aufeinanderfolgenden Phasen, entsprechend der im Konzept definierten Abhängigkeiten zwischen Backend, Konfiguration und Frontend.</w:t>
      </w:r>
    </w:p>
    <w:p>
      <w:pPr>
        <w:pStyle w:val="BodyText"/>
        <w:spacing w:lineRule="auto" w:line="264" w:before="114" w:after="114"/>
        <w:jc w:val="both"/>
        <w:rPr>
          <w:rFonts w:ascii="Alexandria Light" w:hAnsi="Alexandria Light"/>
          <w:color w:val="0070C0"/>
          <w:sz w:val="20"/>
        </w:rPr>
      </w:pPr>
      <w:r>
        <w:rPr>
          <w:rFonts w:ascii="Alexandria Light" w:hAnsi="Alexandria Light"/>
          <w:b w:val="false"/>
          <w:bCs w:val="false"/>
          <w:color w:val="000000"/>
          <w:sz w:val="20"/>
        </w:rPr>
        <w:t>Zu Beginn wurde das gesamte RAP-Backend implementiert. Zunächst wurden die Table Entities sowie die darauf aufbauenden CDS Views angelegt, die die Datenstruktur des Antragsmanagements abbilden. Anschließend wurden die Behavior Definitions erstellt, welche die erlaubten Operationen sowie die anwendungsspezifische Validierungs- und Aktionslogik definieren. Mit dem abgeschlossenen Backend stand ein vollständig funktionsfähiger OData-Service zur Verfügung, der als Grundlage für alle weite1ren Entwicklungsschritte diente.</w:t>
      </w:r>
    </w:p>
    <w:p>
      <w:pPr>
        <w:pStyle w:val="BodyText"/>
        <w:spacing w:lineRule="auto" w:line="264" w:before="0" w:after="0"/>
        <w:jc w:val="both"/>
        <w:rPr>
          <w:rFonts w:ascii="Alexandria Light" w:hAnsi="Alexandria Light"/>
          <w:color w:val="0070C0"/>
          <w:sz w:val="20"/>
        </w:rPr>
      </w:pPr>
      <w:r>
        <w:rPr>
          <w:rFonts w:ascii="Alexandria Light" w:hAnsi="Alexandria Light"/>
          <w:b w:val="false"/>
          <w:bCs w:val="false"/>
          <w:color w:val="000000"/>
          <w:sz w:val="20"/>
        </w:rPr>
        <w:t>Im zweiten Schritt wurden die Business Configuration Maintenance Objekte für die Verwaltung der Beantragungsteams und Genehmigungsteams angelegt. Diese ermöglichen es dem Fachbereich, das Berechtigungskonzept eigenständig über eine standardisierte Fiori-Oberfläche zu pflegen.</w:t>
      </w:r>
    </w:p>
    <w:p>
      <w:pPr>
        <w:pStyle w:val="BodyText"/>
        <w:spacing w:lineRule="auto" w:line="264" w:before="60" w:after="283"/>
        <w:jc w:val="both"/>
        <w:rPr>
          <w:rFonts w:ascii="Alexandria Light" w:hAnsi="Alexandria Light"/>
          <w:color w:val="0070C0"/>
          <w:sz w:val="20"/>
        </w:rPr>
      </w:pPr>
      <w:r>
        <w:rPr>
          <w:rFonts w:ascii="Alexandria Light" w:hAnsi="Alexandria Light"/>
          <w:b w:val="false"/>
          <w:bCs w:val="false"/>
          <w:color w:val="000000"/>
          <w:sz w:val="20"/>
        </w:rPr>
        <w:t>Den größten Entwicklungsaufwand stellte die Implementierung des Frontends dar. Die Hauptherausforderung lag in der Integration von SAP Fiori Elements Macros innerhalb eines UI5 Wizards. Die Macros wurden eingesetzt, um Datensätze direkt über einen Fiori Elements Building Block anlegen, bearbeiten und löschen zu können, ohne die im Backend definierten Validierungen zu umgehen.</w:t>
      </w:r>
    </w:p>
    <w:p>
      <w:pPr>
        <w:pStyle w:val="BodyText"/>
        <w:spacing w:lineRule="auto" w:line="264" w:before="60" w:after="283"/>
        <w:jc w:val="both"/>
        <w:rPr/>
      </w:pPr>
      <w:r>
        <w:rPr>
          <w:rFonts w:ascii="Alexandria Light" w:hAnsi="Alexandria Light"/>
          <w:b w:val="false"/>
          <w:bCs w:val="false"/>
          <w:color w:val="000000"/>
          <w:sz w:val="20"/>
        </w:rPr>
        <w:t>Die technische Schwierigkeit bestand darin, dass die Fiori Elements Komponenten innerhalb des Wizards einen spezifischen Controll</w:t>
      </w:r>
      <w:r>
        <w:rPr>
          <w:rFonts w:ascii="Alexandria Light" w:hAnsi="Alexandria Light"/>
          <w:color w:val="000000"/>
          <w:sz w:val="20"/>
        </w:rPr>
        <w:t xml:space="preserve">er sowie die zugehörige </w:t>
      </w:r>
      <w:r>
        <w:rPr>
          <w:rStyle w:val="SourceText"/>
          <w:rFonts w:ascii="Alexandria Light" w:hAnsi="Alexandria Light"/>
          <w:color w:val="000000"/>
          <w:sz w:val="20"/>
        </w:rPr>
        <w:t>ExtensionAPI</w:t>
      </w:r>
      <w:r>
        <w:rPr>
          <w:rFonts w:ascii="Alexandria Light" w:hAnsi="Alexandria Light"/>
          <w:color w:val="000000"/>
          <w:sz w:val="20"/>
        </w:rPr>
        <w:t xml:space="preserve"> voraussetzen, um korrekt initialisiert werden zu können. Darüber hinaus mussten alle relevanten Kontexte und Datensätze bereits vor dem Aufruf des Wizards existieren, da diese vom Preprocessor benötigt werden, um die Inhalte der jeweiligen Wizard-Schritte korrekt darzustellen. </w:t>
      </w:r>
      <w:r>
        <w:rPr>
          <w:rFonts w:ascii="Alexandria Light" w:hAnsi="Alexandria Light"/>
        </w:rPr>
        <w:t>Die Lösung bestand darin, die erforderlichen Datensätze bereits vor dem Routing auf den Wizard anzulegen und den Schlüssel der Root-Entität als Parameter an den Wizard zu übergeben. Dadurch stehen dem Preprocessor beim Initialisieren der Wizard-Schritte alle notwendigen Kontexte zur Verfügung.</w:t>
      </w:r>
    </w:p>
    <w:p>
      <w:pPr>
        <w:pStyle w:val="BodyText"/>
        <w:spacing w:lineRule="auto" w:line="264" w:before="60" w:after="283"/>
        <w:jc w:val="both"/>
        <w:rPr>
          <w:rFonts w:ascii="Alexandria Light" w:hAnsi="Alexandria Light"/>
          <w:color w:val="FF0000"/>
          <w:sz w:val="20"/>
        </w:rPr>
      </w:pPr>
      <w:r>
        <w:rPr>
          <w:rFonts w:ascii="Alexandria Light" w:hAnsi="Alexandria Light"/>
          <w:color w:val="FF0000"/>
          <w:sz w:val="20"/>
        </w:rPr>
        <w:t xml:space="preserve">─── </w:t>
      </w:r>
      <w:r>
        <w:rPr>
          <w:rFonts w:ascii="Alexandria Light" w:hAnsi="Alexandria Light"/>
          <w:color w:val="FF0000"/>
          <w:sz w:val="20"/>
        </w:rPr>
        <w:t>TODO: Quellcode-Beispiele ───</w:t>
      </w:r>
    </w:p>
    <w:p>
      <w:pPr>
        <w:pStyle w:val="Heading2"/>
        <w:numPr>
          <w:ilvl w:val="1"/>
          <w:numId w:val="11"/>
        </w:numPr>
        <w:rPr>
          <w:lang w:eastAsia="en-US"/>
        </w:rPr>
      </w:pPr>
      <w:bookmarkStart w:id="59" w:name="_Toc218703513"/>
      <w:bookmarkStart w:id="60" w:name="_Toc181709020"/>
      <w:bookmarkStart w:id="61" w:name="_Toc181697570"/>
      <w:r>
        <w:rPr/>
        <w:t>Abschluss</w:t>
      </w:r>
      <w:bookmarkEnd w:id="59"/>
      <w:bookmarkEnd w:id="60"/>
      <w:bookmarkEnd w:id="61"/>
    </w:p>
    <w:p>
      <w:pPr>
        <w:pStyle w:val="Heading3"/>
        <w:numPr>
          <w:ilvl w:val="2"/>
          <w:numId w:val="11"/>
        </w:numPr>
        <w:rPr/>
      </w:pPr>
      <w:bookmarkStart w:id="62" w:name="_Toc218703514"/>
      <w:commentRangeStart w:id="1"/>
      <w:r>
        <w:rPr/>
        <w:t>Test</w:t>
      </w:r>
      <w:bookmarkEnd w:id="62"/>
    </w:p>
    <w:p>
      <w:pPr>
        <w:pStyle w:val="Normal"/>
        <w:rPr>
          <w:color w:val="0070C0"/>
        </w:rPr>
      </w:pPr>
      <w:r>
        <w:rPr>
          <w:color w:val="0070C0"/>
        </w:rPr>
        <w:t>Wie ist der Test verlaufen? Wurden Fehler gefunden? Wie wurden diese bewertet und behoben?</w:t>
      </w:r>
    </w:p>
    <w:p>
      <w:pPr>
        <w:pStyle w:val="Heading3"/>
        <w:numPr>
          <w:ilvl w:val="2"/>
          <w:numId w:val="11"/>
        </w:numPr>
        <w:rPr/>
      </w:pPr>
      <w:bookmarkStart w:id="63" w:name="_Toc218703515"/>
      <w:bookmarkStart w:id="64" w:name="_Toc181709022"/>
      <w:bookmarkStart w:id="65" w:name="_Toc181697572"/>
      <w:bookmarkStart w:id="66" w:name="_Toc182313734"/>
      <w:bookmarkStart w:id="67" w:name="_Toc182399913"/>
      <w:bookmarkEnd w:id="66"/>
      <w:bookmarkEnd w:id="67"/>
      <w:r>
        <w:rPr/>
        <w:t>Dokumentation</w:t>
      </w:r>
      <w:bookmarkEnd w:id="63"/>
      <w:bookmarkEnd w:id="64"/>
      <w:bookmarkEnd w:id="65"/>
    </w:p>
    <w:p>
      <w:pPr>
        <w:pStyle w:val="Normal"/>
        <w:rPr>
          <w:color w:val="0070C0"/>
        </w:rPr>
      </w:pPr>
      <w:r>
        <w:rPr>
          <w:color w:val="0070C0"/>
        </w:rPr>
        <w:t>Neben der IHK Dokumentation weitere Dokumente? Anwenderdokumentation, technische Dokumentation? Testdokumentation?</w:t>
      </w:r>
    </w:p>
    <w:p>
      <w:pPr>
        <w:pStyle w:val="Heading3"/>
        <w:numPr>
          <w:ilvl w:val="2"/>
          <w:numId w:val="11"/>
        </w:numPr>
        <w:rPr/>
      </w:pPr>
      <w:bookmarkStart w:id="68" w:name="_Toc218703516"/>
      <w:bookmarkStart w:id="69" w:name="_Toc181709023"/>
      <w:r>
        <w:rPr/>
        <w:t>Übergabe</w:t>
      </w:r>
      <w:bookmarkEnd w:id="68"/>
      <w:bookmarkEnd w:id="69"/>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1"/>
        </w:numPr>
        <w:rPr/>
      </w:pPr>
      <w:bookmarkStart w:id="70" w:name="_Toc218703517"/>
      <w:bookmarkStart w:id="71" w:name="_Toc181709024"/>
      <w:r>
        <w:rPr/>
        <w:t>Gegenüberstellung SOLL-/IST-Zeit</w:t>
      </w:r>
      <w:bookmarkEnd w:id="70"/>
      <w:bookmarkEnd w:id="71"/>
    </w:p>
    <w:p>
      <w:pPr>
        <w:pStyle w:val="Normal"/>
        <w:rPr>
          <w:color w:val="0070C0"/>
        </w:rPr>
      </w:pPr>
      <w:r>
        <w:rPr>
          <w:color w:val="0070C0"/>
        </w:rPr>
        <w:t>Tabellarische Gegenüberstellung der Planzeiten mit den Ist-Zeiten. Gab es Abweichungen? Wenn ja, erläutern</w:t>
      </w:r>
    </w:p>
    <w:p>
      <w:pPr>
        <w:pStyle w:val="Heading3"/>
        <w:numPr>
          <w:ilvl w:val="2"/>
          <w:numId w:val="11"/>
        </w:numPr>
        <w:rPr/>
      </w:pPr>
      <w:bookmarkStart w:id="72" w:name="_Toc218703518"/>
      <w:r>
        <w:rPr/>
        <w:t>Fazit und Ausblick</w:t>
      </w:r>
      <w:bookmarkEnd w:id="72"/>
    </w:p>
    <w:p>
      <w:pPr>
        <w:pStyle w:val="Normal"/>
        <w:rPr>
          <w:color w:val="0070C0"/>
        </w:rPr>
      </w:pPr>
      <w:r>
        <w:rPr>
          <w:color w:val="0070C0"/>
        </w:rPr>
        <w:t>Gibt es besondere Learnings bereits Erweiterungswünsche weitere Kundenaufgaben.</w:t>
      </w:r>
      <w:commentRangeEnd w:id="1"/>
      <w:r>
        <w:commentReference w:id="1"/>
      </w:r>
      <w:r>
        <w:rPr>
          <w:color w:val="0070C0"/>
        </w:rPr>
      </w:r>
    </w:p>
    <w:p>
      <w:pPr>
        <w:pStyle w:val="Normal"/>
        <w:rPr/>
      </w:pPr>
      <w:r>
        <w:rPr/>
      </w:r>
    </w:p>
    <w:p>
      <w:pPr>
        <w:pStyle w:val="Heading1"/>
        <w:numPr>
          <w:ilvl w:val="0"/>
          <w:numId w:val="11"/>
        </w:numPr>
        <w:rPr/>
      </w:pPr>
      <w:bookmarkStart w:id="73" w:name="_Toc181697574"/>
      <w:bookmarkStart w:id="74" w:name="_Toc181709025"/>
      <w:bookmarkStart w:id="75" w:name="_Toc218703519"/>
      <w:r>
        <w:rPr/>
        <w:t>Quellen</w:t>
      </w:r>
      <w:bookmarkEnd w:id="73"/>
      <w:bookmarkEnd w:id="74"/>
      <w:bookmarkEnd w:id="75"/>
    </w:p>
    <w:p>
      <w:pPr>
        <w:pStyle w:val="ListParagraph"/>
        <w:numPr>
          <w:ilvl w:val="0"/>
          <w:numId w:val="5"/>
        </w:numPr>
        <w:suppressAutoHyphens w:val="true"/>
        <w:rPr>
          <w:rFonts w:cs="Calibri" w:cstheme="minorHAnsi"/>
          <w:lang w:eastAsia="de-DE"/>
        </w:rPr>
      </w:pPr>
      <w:hyperlink r:id="rId19">
        <w:r>
          <w:rPr>
            <w:rStyle w:val="Hyperlink"/>
            <w:rFonts w:cs="Calibri" w:cstheme="minorHAnsi"/>
            <w:lang w:val="de-DE" w:eastAsia="de-DE"/>
          </w:rPr>
          <w:t>https://www.mibs-ag.de/</w:t>
        </w:r>
      </w:hyperlink>
    </w:p>
    <w:p>
      <w:pPr>
        <w:pStyle w:val="Heading1"/>
        <w:numPr>
          <w:ilvl w:val="0"/>
          <w:numId w:val="11"/>
        </w:numPr>
        <w:rPr/>
      </w:pPr>
      <w:bookmarkStart w:id="76" w:name="_Toc218703520"/>
      <w:bookmarkStart w:id="77" w:name="_Toc181709026"/>
      <w:bookmarkStart w:id="78" w:name="_Toc181697575"/>
      <w:r>
        <w:rPr/>
        <w:t>Abbildungsverzeichnis</w:t>
      </w:r>
      <w:bookmarkStart w:id="79" w:name="_Toc181709027"/>
      <w:bookmarkStart w:id="80" w:name="_Toc181697576"/>
      <w:bookmarkEnd w:id="76"/>
      <w:bookmarkEnd w:id="77"/>
      <w:bookmarkEnd w:id="78"/>
    </w:p>
    <w:p>
      <w:pPr>
        <w:pStyle w:val="Heading1"/>
        <w:numPr>
          <w:ilvl w:val="0"/>
          <w:numId w:val="11"/>
        </w:numPr>
        <w:rPr/>
      </w:pPr>
      <w:bookmarkStart w:id="81" w:name="_Toc218703521"/>
      <w:r>
        <w:rPr/>
        <w:t>Anlagenverzeichnis</w:t>
      </w:r>
      <w:bookmarkEnd w:id="79"/>
      <w:bookmarkEnd w:id="80"/>
      <w:bookmarkEnd w:id="81"/>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4"/>
        </w:numPr>
        <w:rPr>
          <w:rFonts w:cs="Alexandria Light"/>
          <w:color w:val="0070C0"/>
        </w:rPr>
      </w:pPr>
      <w:r>
        <w:rPr>
          <w:rFonts w:cs="Alexandria Light"/>
          <w:color w:val="0070C0"/>
        </w:rPr>
        <w:t>Zeitplanung</w:t>
      </w:r>
    </w:p>
    <w:p>
      <w:pPr>
        <w:pStyle w:val="ListParagraph"/>
        <w:numPr>
          <w:ilvl w:val="0"/>
          <w:numId w:val="12"/>
        </w:numPr>
        <w:rPr>
          <w:rFonts w:cs="Alexandria Light"/>
          <w:color w:val="0070C0"/>
        </w:rPr>
      </w:pPr>
      <w:r>
        <w:rPr>
          <w:rFonts w:cs="Alexandria Light"/>
          <w:color w:val="0070C0"/>
        </w:rPr>
        <w:t>Lastenheft*</w:t>
      </w:r>
    </w:p>
    <w:p>
      <w:pPr>
        <w:pStyle w:val="ListParagraph"/>
        <w:numPr>
          <w:ilvl w:val="0"/>
          <w:numId w:val="12"/>
        </w:numPr>
        <w:rPr>
          <w:rFonts w:cs="Alexandria Light"/>
          <w:color w:val="0070C0"/>
        </w:rPr>
      </w:pPr>
      <w:r>
        <w:rPr>
          <w:rFonts w:cs="Alexandria Light"/>
          <w:color w:val="0070C0"/>
        </w:rPr>
        <w:t>Auszüge Pflichtenheft</w:t>
      </w:r>
    </w:p>
    <w:p>
      <w:pPr>
        <w:pStyle w:val="ListParagraph"/>
        <w:numPr>
          <w:ilvl w:val="0"/>
          <w:numId w:val="12"/>
        </w:numPr>
        <w:rPr>
          <w:rFonts w:cs="Alexandria Light"/>
          <w:color w:val="0070C0"/>
        </w:rPr>
      </w:pPr>
      <w:r>
        <w:rPr>
          <w:rFonts w:cs="Alexandria Light"/>
          <w:color w:val="0070C0"/>
        </w:rPr>
        <w:t xml:space="preserve">Auszüge Technisches Detailkonzept </w:t>
      </w:r>
    </w:p>
    <w:p>
      <w:pPr>
        <w:pStyle w:val="ListParagraph"/>
        <w:numPr>
          <w:ilvl w:val="0"/>
          <w:numId w:val="12"/>
        </w:numPr>
        <w:rPr>
          <w:rFonts w:cs="Alexandria Light"/>
          <w:color w:val="0070C0"/>
        </w:rPr>
      </w:pPr>
      <w:r>
        <w:rPr>
          <w:rFonts w:cs="Alexandria Light"/>
          <w:color w:val="0070C0"/>
        </w:rPr>
        <w:t>Testkonzept inkl.Testmatrix</w:t>
      </w:r>
    </w:p>
    <w:p>
      <w:pPr>
        <w:pStyle w:val="ListParagraph"/>
        <w:numPr>
          <w:ilvl w:val="0"/>
          <w:numId w:val="12"/>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2"/>
        </w:numPr>
        <w:rPr>
          <w:rFonts w:cs="Alexandria Light"/>
          <w:color w:val="0070C0"/>
        </w:rPr>
      </w:pPr>
      <w:r>
        <w:rPr>
          <w:rFonts w:cs="Alexandria Light"/>
          <w:color w:val="0070C0"/>
        </w:rPr>
        <w:t>Auszüge Anwenderdokumentation</w:t>
      </w:r>
    </w:p>
    <w:p>
      <w:pPr>
        <w:pStyle w:val="ListParagraph"/>
        <w:numPr>
          <w:ilvl w:val="0"/>
          <w:numId w:val="12"/>
        </w:numPr>
        <w:rPr>
          <w:rFonts w:cs="Alexandria Light"/>
          <w:color w:val="0070C0"/>
        </w:rPr>
      </w:pPr>
      <w:r>
        <w:rPr>
          <w:rFonts w:cs="Alexandria Light"/>
          <w:color w:val="0070C0"/>
        </w:rPr>
        <w:t>Testprotokoll*</w:t>
      </w:r>
    </w:p>
    <w:p>
      <w:pPr>
        <w:pStyle w:val="ListParagraph"/>
        <w:numPr>
          <w:ilvl w:val="0"/>
          <w:numId w:val="12"/>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35:00Z" w:initials="PW">
    <w:p>
      <w:pPr>
        <w:overflowPunct w:val="false"/>
        <w:spacing w:lineRule="auto" w:line="240" w:before="0" w:after="0"/>
        <w:jc w:val="start"/>
        <w:rPr/>
      </w:pPr>
      <w:r>
        <w:annotationRef/>
      </w:r>
      <w:r>
        <w:rPr>
          <w:rFonts w:ascii="Calibri" w:hAnsi="Calibri"/>
          <w:b/>
          <w:bCs/>
        </w:rPr>
        <w:t>Fachliche Realisierung und deren Begründung</w:t>
      </w:r>
    </w:p>
    <w:p>
      <w:pPr>
        <w:overflowPunct w:val="false"/>
        <w:spacing w:lineRule="auto" w:line="240" w:before="0" w:after="0"/>
        <w:jc w:val="start"/>
        <w:rPr/>
      </w:pPr>
      <w:r>
        <w:rPr>
          <w:rFonts w:ascii="Calibri" w:hAnsi="Calibri"/>
        </w:rPr>
        <w:t>Problemanalyse und Software-Designprozess</w:t>
      </w:r>
    </w:p>
    <w:p>
      <w:pPr>
        <w:overflowPunct w:val="false"/>
        <w:spacing w:lineRule="auto" w:line="240" w:before="0" w:after="0"/>
        <w:jc w:val="start"/>
        <w:rPr/>
      </w:pPr>
      <w:r>
        <w:rPr>
          <w:rFonts w:ascii="Calibri" w:hAnsi="Calibri"/>
        </w:rPr>
        <w:t>Entscheidungen bei der Implementierung</w:t>
      </w:r>
    </w:p>
    <w:p>
      <w:pPr>
        <w:overflowPunct w:val="false"/>
        <w:spacing w:lineRule="auto" w:line="240" w:before="0" w:after="0"/>
        <w:jc w:val="start"/>
        <w:rPr/>
      </w:pPr>
      <w:r>
        <w:rPr>
          <w:rFonts w:ascii="Calibri" w:hAnsi="Calibri"/>
        </w:rPr>
        <w:t xml:space="preserve">Darstellung und Bewertung von Alternativen </w:t>
      </w:r>
    </w:p>
    <w:p>
      <w:pPr>
        <w:overflowPunct w:val="false"/>
        <w:spacing w:lineRule="auto" w:line="240" w:before="0" w:after="0"/>
        <w:jc w:val="start"/>
        <w:rPr/>
      </w:pPr>
      <w:r>
        <w:rPr>
          <w:rFonts w:ascii="Calibri" w:hAnsi="Calibri"/>
        </w:rPr>
      </w:r>
    </w:p>
    <w:p>
      <w:pPr>
        <w:overflowPunct w:val="false"/>
        <w:spacing w:lineRule="auto" w:line="240" w:before="0" w:after="0"/>
        <w:jc w:val="start"/>
        <w:rPr/>
      </w:pPr>
      <w:r>
        <w:rPr>
          <w:rFonts w:ascii="Calibri" w:hAnsi="Calibri"/>
          <w:b/>
          <w:bCs/>
        </w:rPr>
        <w:t>Fachliche Richtigkeit/Vollständigkeit der Problemlösung</w:t>
      </w:r>
    </w:p>
    <w:p>
      <w:pPr>
        <w:overflowPunct w:val="false"/>
        <w:spacing w:lineRule="auto" w:line="240" w:before="0" w:after="0"/>
        <w:jc w:val="start"/>
        <w:rPr/>
      </w:pPr>
      <w:r>
        <w:rPr>
          <w:rFonts w:ascii="Calibri" w:hAnsi="Calibri"/>
        </w:rPr>
        <w:t>Verwendung der Fachterminologie</w:t>
      </w:r>
    </w:p>
    <w:p>
      <w:pPr>
        <w:overflowPunct w:val="false"/>
        <w:spacing w:lineRule="auto" w:line="240" w:before="0" w:after="0"/>
        <w:jc w:val="start"/>
        <w:rPr/>
      </w:pPr>
      <w:r>
        <w:rPr>
          <w:rFonts w:ascii="Calibri" w:hAnsi="Calibri"/>
        </w:rPr>
        <w:t>fach- und normgerechte Darstellung</w:t>
      </w:r>
    </w:p>
  </w:comment>
  <w:comment w:id="1" w:author="Pia Wittenbecher" w:date="2026-01-07T17:39:00Z" w:initials="PW">
    <w:p>
      <w:pPr>
        <w:overflowPunct w:val="false"/>
        <w:spacing w:lineRule="auto" w:line="240" w:before="0" w:after="0"/>
        <w:jc w:val="start"/>
        <w:rPr/>
      </w:pPr>
      <w:r>
        <w:annotationRef/>
      </w:r>
      <w:r>
        <w:rPr>
          <w:rFonts w:ascii="Calibri" w:hAnsi="Calibri"/>
          <w:b/>
          <w:bCs/>
        </w:rPr>
        <w:t>Auswertung der Projektergebnisse</w:t>
      </w:r>
    </w:p>
    <w:p>
      <w:pPr>
        <w:overflowPunct w:val="false"/>
        <w:spacing w:lineRule="auto" w:line="240" w:before="0" w:after="0"/>
        <w:jc w:val="start"/>
        <w:rPr/>
      </w:pPr>
      <w:r>
        <w:rPr>
          <w:rFonts w:ascii="Calibri" w:hAnsi="Calibri"/>
        </w:rPr>
        <w:t>Reflexion des Projektverlaufs</w:t>
      </w:r>
    </w:p>
    <w:p>
      <w:pPr>
        <w:overflowPunct w:val="fals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OpenSymbol">
    <w:altName w:val="Arial Unicode MS"/>
    <w:charset w:val="01" w:characterSet="utf-8"/>
    <w:family w:val="swiss"/>
    <w:pitch w:val="variable"/>
  </w:font>
  <w:font w:name="Liberation Mono">
    <w:altName w:val="Courier New"/>
    <w:charset w:val="01" w:characterSet="utf-8"/>
    <w:family w:val="swiss"/>
    <w:pitch w:val="variable"/>
  </w:font>
  <w:font w:name="Calibri Light">
    <w:charset w:val="01" w:characterSet="utf-8"/>
    <w:family w:val="swiss"/>
    <w:pitch w:val="variable"/>
  </w:font>
  <w:font w:name="Times New Roman">
    <w:charset w:val="01" w:characterSet="utf-8"/>
    <w:family w:val="roman"/>
    <w:pitch w:val="variable"/>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lexandria Light">
    <w:charset w:val="01"/>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14</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0</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3960 w 540000"/>
                          <a:gd name="textAreaTop" fmla="*/ 0 h 191160"/>
                          <a:gd name="textAreaBottom" fmla="*/ 19512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9"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3960 w 540000"/>
                          <a:gd name="textAreaTop" fmla="*/ 0 h 191160"/>
                          <a:gd name="textAreaBottom" fmla="*/ 19512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0">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1"/>
    <w:lvlOverride w:ilvl="0">
      <w:startOverride w:val="1"/>
    </w:lvlOverride>
  </w:num>
  <w:num w:numId="14">
    <w:abstractNumId w:val="12"/>
    <w:lvlOverride w:ilvl="0">
      <w:startOverride w:val="1"/>
    </w:lvlOverride>
  </w:num>
</w:numbering>
</file>

<file path=word/settings.xml><?xml version="1.0" encoding="utf-8"?>
<w:settings xmlns:w="http://schemas.openxmlformats.org/wordprocessingml/2006/main">
  <w:zoom w:percent="9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JP" w:cs="Liberation Mono"/>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tru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4"/>
      </w:numPr>
    </w:pPr>
    <w:rPr>
      <w:rFonts w:ascii="Calibri" w:hAnsi="Calibri" w:cs="Calibri" w:asciiTheme="minorHAnsi" w:hAnsiTheme="minorHAnsi"/>
      <w:b w:val="false"/>
      <w:i/>
      <w:iCs/>
      <w:color w:val="auto"/>
      <w:lang w:eastAsia="en-US"/>
    </w:rPr>
  </w:style>
  <w:style w:type="paragraph" w:styleId="FrameContents">
    <w:name w:val="Frame Contents"/>
    <w:basedOn w:val="Normal"/>
    <w:qFormat/>
    <w:pPr/>
    <w:rPr/>
  </w:style>
  <w:style w:type="paragraph" w:styleId="HeaderLeft">
    <w:name w:val="Header Left"/>
    <w:basedOn w:val="Header"/>
    <w:qFormat/>
    <w:pPr/>
    <w:rPr/>
  </w:style>
  <w:style w:type="paragraph" w:styleId="FrameContentsuser">
    <w:name w:val="Frame Contents (user)"/>
    <w:basedOn w:val="Normal"/>
    <w:qFormat/>
    <w:pPr/>
    <w:rPr/>
  </w:style>
  <w:style w:type="paragraph" w:styleId="BlockQuotationuser">
    <w:name w:val="Block Quotation (user)"/>
    <w:basedOn w:val="Normal"/>
    <w:qFormat/>
    <w:pPr>
      <w:spacing w:before="60" w:after="283"/>
      <w:ind w:hanging="0" w:start="567" w:end="567"/>
    </w:pPr>
    <w:rPr/>
  </w:style>
  <w:style w:type="paragraph" w:styleId="EnvelopeAddress">
    <w:name w:val="envelope address"/>
    <w:basedOn w:val="Normal"/>
    <w:pPr>
      <w:suppressLineNumbers/>
      <w:spacing w:before="0" w:after="60"/>
    </w:pPr>
    <w:rPr/>
  </w:style>
  <w:style w:type="paragraph" w:styleId="Heading10">
    <w:name w:val="Heading 10"/>
    <w:basedOn w:val="Heading"/>
    <w:next w:val="BodyText"/>
    <w:qFormat/>
    <w:pPr>
      <w:numPr>
        <w:ilvl w:val="8"/>
        <w:numId w:val="1"/>
      </w:numPr>
      <w:spacing w:before="60" w:after="60"/>
      <w:outlineLvl w:val="8"/>
    </w:pPr>
    <w:rPr>
      <w:b/>
      <w:bCs/>
      <w:sz w:val="18"/>
      <w:szCs w:val="18"/>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yperlink" Target="https://www.mibs-ag.de/" TargetMode="External"/><Relationship Id="rId20" Type="http://schemas.openxmlformats.org/officeDocument/2006/relationships/header" Target="header7.xml"/><Relationship Id="rId21" Type="http://schemas.openxmlformats.org/officeDocument/2006/relationships/header" Target="header8.xml"/><Relationship Id="rId22" Type="http://schemas.openxmlformats.org/officeDocument/2006/relationships/header" Target="header9.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footer" Target="footer9.xml"/><Relationship Id="rId26" Type="http://schemas.openxmlformats.org/officeDocument/2006/relationships/header" Target="head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comments" Target="comment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Relationship Id="rId39" Type="http://schemas.openxmlformats.org/officeDocument/2006/relationships/customXml" Target="../customXml/item3.xml"/><Relationship Id="rId40"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538</TotalTime>
  <Application>LibreOffice/26.2.2.2$Linux_X86_64 LibreOffice_project/620$Build-2</Application>
  <AppVersion>15.0000</AppVersion>
  <Pages>15</Pages>
  <Words>3172</Words>
  <Characters>22575</Characters>
  <CharactersWithSpaces>25462</CharactersWithSpaces>
  <Paragraphs>250</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2026-04-02T15:45:42Z</dcterms:modified>
  <cp:revision>25</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