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ascii="Arial" w:hAnsi="Arial"/>
          <w:b/>
          <w:bCs/>
          <w:color w:val="1F4E79"/>
          <w:sz w:val="40"/>
          <w:szCs w:val="40"/>
        </w:rPr>
        <w:t>Lastenheft – Auszug</w:t>
      </w:r>
    </w:p>
    <w:p>
      <w:pPr>
        <w:pStyle w:val="Normal"/>
        <w:spacing w:before="0" w:after="400"/>
        <w:jc w:val="center"/>
        <w:rPr/>
      </w:pPr>
      <w:r>
        <w:rPr>
          <w:rFonts w:eastAsia="Arial" w:cs="Arial" w:ascii="Arial" w:hAnsi="Arial"/>
          <w:color w:val="2E75B6"/>
          <w:sz w:val="24"/>
          <w:szCs w:val="24"/>
        </w:rPr>
        <w:t>Antrags- und Genehmigungsanwendung im MIBS-Virtualdesk</w:t>
      </w:r>
    </w:p>
    <w:tbl>
      <w:tblPr>
        <w:tblW w:w="8960" w:type="dxa"/>
        <w:jc w:val="start"/>
        <w:tblInd w:w="0" w:type="dxa"/>
        <w:tblLayout w:type="fixed"/>
        <w:tblCellMar>
          <w:top w:w="80" w:type="dxa"/>
          <w:start w:w="120" w:type="dxa"/>
          <w:bottom w:w="80" w:type="dxa"/>
          <w:end w:w="120" w:type="dxa"/>
        </w:tblCellMar>
      </w:tblPr>
      <w:tblGrid>
        <w:gridCol w:w="2400"/>
        <w:gridCol w:w="6560"/>
      </w:tblGrid>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Auftraggeber</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MIBS AG – Fachbereich</w:t>
            </w:r>
          </w:p>
        </w:tc>
      </w:tr>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Auftragnehmer</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Yannick Spangel (Auszubildender)</w:t>
            </w:r>
          </w:p>
        </w:tc>
      </w:tr>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Version</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1.0 – Entwurf (Oktober 2025)</w:t>
            </w:r>
          </w:p>
        </w:tc>
      </w:tr>
    </w:tbl>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1. Zielsetzung</w:t>
      </w:r>
    </w:p>
    <w:p>
      <w:pPr>
        <w:pStyle w:val="Normal"/>
        <w:spacing w:before="80" w:after="80"/>
        <w:rPr/>
      </w:pPr>
      <w:r>
        <w:rPr>
          <w:rFonts w:eastAsia="Arial" w:cs="Arial" w:ascii="Arial" w:hAnsi="Arial"/>
          <w:b w:val="false"/>
          <w:bCs w:val="false"/>
          <w:sz w:val="20"/>
          <w:szCs w:val="20"/>
        </w:rPr>
        <w:t>Ziel des Projekts ist die firmenweite Vereinheitlichung des Genehmigungsprozesses für alle kostenrelevanten, kostenneutralen und kostenunspezifischen, genehmigungspflichtigen Vorgänge. Mitarbeiter sollen Anträge zu Themen wie Hardware, Software, Dienstreisen, Fortbildungen und weiteren Kategorien zentral über den MIBS-Virtualdesk (MVD) stellen können.</w:t>
      </w:r>
    </w:p>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2. Ist-Zustand</w:t>
      </w:r>
    </w:p>
    <w:p>
      <w:pPr>
        <w:pStyle w:val="Normal"/>
        <w:spacing w:before="80" w:after="80"/>
        <w:rPr/>
      </w:pPr>
      <w:r>
        <w:rPr>
          <w:rFonts w:eastAsia="Arial" w:cs="Arial" w:ascii="Arial" w:hAnsi="Arial"/>
          <w:b w:val="false"/>
          <w:bCs w:val="false"/>
          <w:sz w:val="20"/>
          <w:szCs w:val="20"/>
        </w:rPr>
        <w:t>Aktuell existiert kein einheitlicher Genehmigungsprozess im Unternehmen. Mitarbeiter wenden sich je nach Vorgang an den Vorstand oder das Backoffice. Die daraus resultierende Kommunikation per E-Mail oder Microsoft Teams ist zeitaufwendig, fehleranfällig und nicht nachvollziehbar. Es kam bereits vor, dass das Backoffice Bestellungen ausgeführt hat, die nicht vom Vorstand genehmigt waren. Auch bei Dienstreisen entstehen regelmäßig Unklarheiten über Genehmigungsstatus und zulässige Kosten.</w:t>
      </w:r>
    </w:p>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3. Anforderungen</w:t>
      </w:r>
    </w:p>
    <w:p>
      <w:pPr>
        <w:pStyle w:val="Normal"/>
        <w:spacing w:before="300" w:after="150"/>
        <w:rPr>
          <w:rFonts w:ascii="Arial" w:hAnsi="Arial" w:eastAsia="Arial" w:cs="Arial"/>
          <w:b/>
          <w:bCs/>
          <w:color w:val="2E75B6"/>
          <w:sz w:val="26"/>
          <w:szCs w:val="26"/>
        </w:rPr>
      </w:pPr>
      <w:r>
        <w:rPr>
          <w:rFonts w:eastAsia="Arial" w:cs="Arial" w:ascii="Arial" w:hAnsi="Arial"/>
          <w:b/>
          <w:bCs/>
          <w:color w:val="2E75B6"/>
          <w:sz w:val="26"/>
          <w:szCs w:val="26"/>
        </w:rPr>
        <w:t>3.1 Funktionale Anforderungen</w:t>
      </w:r>
    </w:p>
    <w:p>
      <w:pPr>
        <w:pStyle w:val="Normal"/>
        <w:spacing w:before="100" w:after="100"/>
        <w:rPr/>
      </w:pPr>
      <w:r>
        <w:rPr/>
      </w:r>
    </w:p>
    <w:tbl>
      <w:tblPr>
        <w:tblW w:w="8960" w:type="dxa"/>
        <w:jc w:val="start"/>
        <w:tblInd w:w="0" w:type="dxa"/>
        <w:tblLayout w:type="fixed"/>
        <w:tblCellMar>
          <w:top w:w="80" w:type="dxa"/>
          <w:start w:w="120" w:type="dxa"/>
          <w:bottom w:w="80" w:type="dxa"/>
          <w:end w:w="120" w:type="dxa"/>
        </w:tblCellMar>
      </w:tblPr>
      <w:tblGrid>
        <w:gridCol w:w="1198"/>
        <w:gridCol w:w="6202"/>
        <w:gridCol w:w="1560"/>
      </w:tblGrid>
      <w:tr>
        <w:trPr>
          <w:tblHeader w:val="true"/>
        </w:trPr>
        <w:tc>
          <w:tcPr>
            <w:tcW w:w="1198"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ID</w:t>
            </w:r>
          </w:p>
        </w:tc>
        <w:tc>
          <w:tcPr>
            <w:tcW w:w="6202"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Anforderung</w:t>
            </w:r>
          </w:p>
        </w:tc>
        <w:tc>
          <w:tcPr>
            <w:tcW w:w="156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Priorität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LA-F01</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Mitarbeiter können eine neue Genehmigungsanfrage im MVD anlegen.</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LA-F02</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Die Anwendung unterstützt verschiedene Antragskategorien (Hardware, Software, Dienstreisen, Fortbildungen u.a.).</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LA-F03</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Bei kostenrelevanten Vorgängen kann der Antragsteller angeben, ob die Kosten bereits bekannt sind.</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LA-F04</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Sind die Kosten nicht bekannt, wechselt der Status auf 'wartet auf Preisinfo' und das Backoffice wird benachrichtigt.</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LA-F05</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Das Backoffice kann Kostenvoranschläge mit Priorität (Prio 1, 2, 3...) erfassen.</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LA-F06</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Fertig erfasste Anträge können zur Genehmigung eingereicht werden.</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LA-F07</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Es ist ein ein- und mehrstufiges Genehmigungsverfahren möglich.</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LA-F08</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Genehmiger können Anträge genehmigen, ablehnen oder an einen weiteren Genehmiger weiterleiten.</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LA-F09</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Alle Statusänderungen sind für Antragsteller und Genehmiger sichtbar.</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LA-F10</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Benachrichtigungen werden automatisch bei relevanten Statusänderungen versendet.</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LA-F11</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In jeder Genehmigungsanfrage gibt es eine Kommentarfunktion für Genehmiger.</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Soll</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LA-F12</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Kostenneutrale und kostenunspezifische Vorgänge können ebenfalls beantragt werden.</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LA-F13</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Die Anwendung ist ausschließlich für berechtigte Mitarbeitergruppen zugänglich.</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bl>
    <w:p>
      <w:pPr>
        <w:pStyle w:val="Normal"/>
        <w:spacing w:before="100" w:after="100"/>
        <w:rPr/>
      </w:pPr>
      <w:r>
        <w:rPr/>
      </w:r>
    </w:p>
    <w:p>
      <w:pPr>
        <w:pStyle w:val="Normal"/>
        <w:spacing w:before="300" w:after="150"/>
        <w:rPr/>
      </w:pPr>
      <w:r>
        <w:rPr>
          <w:rFonts w:eastAsia="Arial" w:cs="Arial" w:ascii="Arial" w:hAnsi="Arial"/>
          <w:b/>
          <w:bCs/>
          <w:color w:val="2E75B6"/>
          <w:sz w:val="26"/>
          <w:szCs w:val="26"/>
        </w:rPr>
        <w:t>3.2 Nicht-funktionale Anforderungen</w:t>
      </w:r>
    </w:p>
    <w:p>
      <w:pPr>
        <w:pStyle w:val="Normal"/>
        <w:spacing w:before="100" w:after="100"/>
        <w:rPr/>
      </w:pPr>
      <w:r>
        <w:rPr/>
      </w:r>
    </w:p>
    <w:tbl>
      <w:tblPr>
        <w:tblW w:w="8960" w:type="dxa"/>
        <w:jc w:val="start"/>
        <w:tblInd w:w="0" w:type="dxa"/>
        <w:tblLayout w:type="fixed"/>
        <w:tblCellMar>
          <w:top w:w="80" w:type="dxa"/>
          <w:start w:w="120" w:type="dxa"/>
          <w:bottom w:w="80" w:type="dxa"/>
          <w:end w:w="120" w:type="dxa"/>
        </w:tblCellMar>
      </w:tblPr>
      <w:tblGrid>
        <w:gridCol w:w="1198"/>
        <w:gridCol w:w="6202"/>
        <w:gridCol w:w="1560"/>
      </w:tblGrid>
      <w:tr>
        <w:trPr>
          <w:tblHeader w:val="true"/>
        </w:trPr>
        <w:tc>
          <w:tcPr>
            <w:tcW w:w="1198"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ID</w:t>
            </w:r>
          </w:p>
        </w:tc>
        <w:tc>
          <w:tcPr>
            <w:tcW w:w="6202"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Anforderung</w:t>
            </w:r>
          </w:p>
        </w:tc>
        <w:tc>
          <w:tcPr>
            <w:tcW w:w="156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Priorität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LA-NF01</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Die Anwendung wird nahtlos in den bestehenden MIBS-Virtualdesk integriert.</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Muss</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LA-NF02</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Die Benutzeroberfläche ist ohne gesonderte Einweisung bedienbar.</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Soll</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8"/>
                <w:szCs w:val="18"/>
              </w:rPr>
              <w:t>LA-NF03</w:t>
            </w:r>
          </w:p>
        </w:tc>
        <w:tc>
          <w:tcPr>
            <w:tcW w:w="62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8"/>
                <w:szCs w:val="18"/>
              </w:rPr>
              <w:t>Genehmigungsprozesse werden durch Abwesenheiten einzelner Personen nicht blockiert.</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ascii="Arial" w:hAnsi="Arial"/>
                <w:sz w:val="18"/>
                <w:szCs w:val="18"/>
              </w:rPr>
              <w:t>Soll</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8"/>
                <w:szCs w:val="18"/>
              </w:rPr>
              <w:t>LA-NF04</w:t>
            </w:r>
          </w:p>
        </w:tc>
        <w:tc>
          <w:tcPr>
            <w:tcW w:w="62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8"/>
                <w:szCs w:val="18"/>
              </w:rPr>
              <w:t>Die Anwendung ermöglicht eine spätere Auswertung von Kosten nach Kategorie und Mitarbeiter.</w:t>
            </w:r>
          </w:p>
        </w:tc>
        <w:tc>
          <w:tcPr>
            <w:tcW w:w="15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ascii="Arial" w:hAnsi="Arial"/>
                <w:sz w:val="18"/>
                <w:szCs w:val="18"/>
              </w:rPr>
              <w:t>Kann</w:t>
            </w:r>
          </w:p>
        </w:tc>
      </w:tr>
    </w:tbl>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4. Abgrenzung</w:t>
      </w:r>
    </w:p>
    <w:p>
      <w:pPr>
        <w:pStyle w:val="Normal"/>
        <w:spacing w:before="200" w:after="100"/>
        <w:rPr/>
      </w:pPr>
      <w:r>
        <w:rPr>
          <w:rFonts w:eastAsia="Arial" w:cs="Arial" w:ascii="Arial" w:hAnsi="Arial"/>
          <w:b/>
          <w:bCs/>
          <w:sz w:val="22"/>
          <w:szCs w:val="22"/>
        </w:rPr>
        <w:t>Im Scope:</w:t>
      </w:r>
    </w:p>
    <w:p>
      <w:pPr>
        <w:pStyle w:val="ListParagraph"/>
        <w:numPr>
          <w:ilvl w:val="0"/>
          <w:numId w:val="4"/>
        </w:numPr>
        <w:spacing w:before="60" w:after="60"/>
        <w:rPr/>
      </w:pPr>
      <w:r>
        <w:rPr>
          <w:rFonts w:eastAsia="Arial" w:cs="Arial" w:ascii="Arial" w:hAnsi="Arial"/>
          <w:sz w:val="20"/>
          <w:szCs w:val="20"/>
        </w:rPr>
        <w:t>Erstellen von Genehmigungsanfragen für alle Vorgangsarten</w:t>
      </w:r>
    </w:p>
    <w:p>
      <w:pPr>
        <w:pStyle w:val="ListParagraph"/>
        <w:numPr>
          <w:ilvl w:val="0"/>
          <w:numId w:val="2"/>
        </w:numPr>
        <w:spacing w:before="60" w:after="60"/>
        <w:rPr/>
      </w:pPr>
      <w:r>
        <w:rPr>
          <w:rFonts w:eastAsia="Arial" w:cs="Arial" w:ascii="Arial" w:hAnsi="Arial"/>
          <w:sz w:val="20"/>
          <w:szCs w:val="20"/>
        </w:rPr>
        <w:t>Ein- und mehrstufiges Genehmigungsverfahren</w:t>
      </w:r>
    </w:p>
    <w:p>
      <w:pPr>
        <w:pStyle w:val="ListParagraph"/>
        <w:numPr>
          <w:ilvl w:val="0"/>
          <w:numId w:val="2"/>
        </w:numPr>
        <w:spacing w:before="60" w:after="60"/>
        <w:rPr/>
      </w:pPr>
      <w:r>
        <w:rPr>
          <w:rFonts w:eastAsia="Arial" w:cs="Arial" w:ascii="Arial" w:hAnsi="Arial"/>
          <w:sz w:val="20"/>
          <w:szCs w:val="20"/>
        </w:rPr>
        <w:t>Automatische Statusverwaltung und Benachrichtigungen</w:t>
      </w:r>
    </w:p>
    <w:p>
      <w:pPr>
        <w:pStyle w:val="ListParagraph"/>
        <w:numPr>
          <w:ilvl w:val="0"/>
          <w:numId w:val="2"/>
        </w:numPr>
        <w:spacing w:before="60" w:after="60"/>
        <w:rPr/>
      </w:pPr>
      <w:r>
        <w:rPr>
          <w:rFonts w:eastAsia="Arial" w:cs="Arial" w:ascii="Arial" w:hAnsi="Arial"/>
          <w:sz w:val="20"/>
          <w:szCs w:val="20"/>
        </w:rPr>
        <w:t>Kostenerfassung mit Prioritäten durch das Backoffice</w:t>
      </w:r>
    </w:p>
    <w:p>
      <w:pPr>
        <w:pStyle w:val="Normal"/>
        <w:spacing w:before="100" w:after="100"/>
        <w:rPr/>
      </w:pPr>
      <w:r>
        <w:rPr/>
      </w:r>
    </w:p>
    <w:p>
      <w:pPr>
        <w:pStyle w:val="Normal"/>
        <w:spacing w:before="200" w:after="100"/>
        <w:rPr/>
      </w:pPr>
      <w:r>
        <w:rPr>
          <w:rFonts w:eastAsia="Arial" w:cs="Arial" w:ascii="Arial" w:hAnsi="Arial"/>
          <w:b/>
          <w:bCs/>
          <w:sz w:val="22"/>
          <w:szCs w:val="22"/>
        </w:rPr>
        <w:t>Nicht im Scope:</w:t>
      </w:r>
    </w:p>
    <w:p>
      <w:pPr>
        <w:pStyle w:val="ListParagraph"/>
        <w:numPr>
          <w:ilvl w:val="0"/>
          <w:numId w:val="2"/>
        </w:numPr>
        <w:spacing w:before="60" w:after="60"/>
        <w:rPr/>
      </w:pPr>
      <w:r>
        <w:rPr>
          <w:rFonts w:eastAsia="Arial" w:cs="Arial" w:ascii="Arial" w:hAnsi="Arial"/>
          <w:sz w:val="20"/>
          <w:szCs w:val="20"/>
        </w:rPr>
        <w:t>Anhängen von Auftragsbestätigungen und Rechnungen</w:t>
      </w:r>
    </w:p>
    <w:p>
      <w:pPr>
        <w:pStyle w:val="ListParagraph"/>
        <w:numPr>
          <w:ilvl w:val="0"/>
          <w:numId w:val="2"/>
        </w:numPr>
        <w:spacing w:before="60" w:after="0"/>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Arial" w:cs="Arial" w:ascii="Arial" w:hAnsi="Arial"/>
          <w:sz w:val="20"/>
          <w:szCs w:val="20"/>
        </w:rPr>
        <w:t>Kosten-Forecast</w:t>
      </w:r>
    </w:p>
    <w:p>
      <w:pPr>
        <w:pStyle w:val="Normal"/>
        <w:spacing w:before="0" w:after="100"/>
        <w:jc w:val="center"/>
        <w:rPr/>
      </w:pPr>
      <w:r>
        <w:rPr>
          <w:rFonts w:eastAsia="Arial" w:cs="Arial" w:ascii="Arial" w:hAnsi="Arial"/>
          <w:b/>
          <w:bCs/>
          <w:color w:val="1F4E79"/>
          <w:sz w:val="40"/>
          <w:szCs w:val="40"/>
        </w:rPr>
        <w:t>Pflichtenheft – Auszug</w:t>
      </w:r>
    </w:p>
    <w:p>
      <w:pPr>
        <w:pStyle w:val="Normal"/>
        <w:spacing w:before="0" w:after="400"/>
        <w:jc w:val="center"/>
        <w:rPr/>
      </w:pPr>
      <w:r>
        <w:rPr>
          <w:rFonts w:eastAsia="Arial" w:cs="Arial" w:ascii="Arial" w:hAnsi="Arial"/>
          <w:color w:val="2E75B6"/>
          <w:sz w:val="24"/>
          <w:szCs w:val="24"/>
        </w:rPr>
        <w:t>Antrags- und Genehmigungsanwendung im MIBS-Virtualdesk</w:t>
      </w:r>
    </w:p>
    <w:tbl>
      <w:tblPr>
        <w:tblW w:w="8960" w:type="dxa"/>
        <w:jc w:val="start"/>
        <w:tblInd w:w="0" w:type="dxa"/>
        <w:tblLayout w:type="fixed"/>
        <w:tblCellMar>
          <w:top w:w="80" w:type="dxa"/>
          <w:start w:w="120" w:type="dxa"/>
          <w:bottom w:w="80" w:type="dxa"/>
          <w:end w:w="120" w:type="dxa"/>
        </w:tblCellMar>
      </w:tblPr>
      <w:tblGrid>
        <w:gridCol w:w="2400"/>
        <w:gridCol w:w="6560"/>
      </w:tblGrid>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Technologie</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SAP RAP, SAP CDS, SAP UI5 / Fiori</w:t>
            </w:r>
          </w:p>
        </w:tc>
      </w:tr>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Entwickler</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Yannick Spangel</w:t>
            </w:r>
          </w:p>
        </w:tc>
      </w:tr>
      <w:tr>
        <w:trPr/>
        <w:tc>
          <w:tcPr>
            <w:tcW w:w="24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ascii="Arial" w:hAnsi="Arial"/>
                <w:b/>
                <w:bCs/>
                <w:sz w:val="18"/>
                <w:szCs w:val="18"/>
              </w:rPr>
              <w:t>Zielplattform</w:t>
            </w:r>
          </w:p>
        </w:tc>
        <w:tc>
          <w:tcPr>
            <w:tcW w:w="6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sz w:val="18"/>
                <w:szCs w:val="18"/>
              </w:rPr>
              <w:t>MIBS-Virtualdesk (SAP-basiert)</w:t>
            </w:r>
          </w:p>
        </w:tc>
      </w:tr>
    </w:tbl>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1. Systemarchitektur</w:t>
      </w:r>
    </w:p>
    <w:p>
      <w:pPr>
        <w:pStyle w:val="Normal"/>
        <w:spacing w:before="80" w:after="80"/>
        <w:rPr/>
      </w:pPr>
      <w:r>
        <w:rPr>
          <w:rFonts w:eastAsia="Arial" w:cs="Arial" w:ascii="Arial" w:hAnsi="Arial"/>
          <w:b w:val="false"/>
          <w:bCs w:val="false"/>
          <w:sz w:val="20"/>
          <w:szCs w:val="20"/>
        </w:rPr>
        <w:t>Die Anwendung wird vollständig auf Basis des SAP RESTful Application Programming Models (RAP) entwickelt und in den bestehenden MIBS-Virtualdesk integriert. Die Architektur gliedert sich in drei Schichten: Datenhaltung (CDS Table Entities), Programmlogik (Behavior Definitions) und Benutzeroberfläche (SAP Fiori / UI5).</w:t>
      </w:r>
    </w:p>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2. Technische Umsetzung der Anforderungen</w:t>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tbl>
      <w:tblPr>
        <w:tblW w:w="8960" w:type="dxa"/>
        <w:jc w:val="start"/>
        <w:tblInd w:w="0" w:type="dxa"/>
        <w:tblLayout w:type="fixed"/>
        <w:tblCellMar>
          <w:top w:w="80" w:type="dxa"/>
          <w:start w:w="120" w:type="dxa"/>
          <w:bottom w:w="80" w:type="dxa"/>
          <w:end w:w="120" w:type="dxa"/>
        </w:tblCellMar>
      </w:tblPr>
      <w:tblGrid>
        <w:gridCol w:w="1198"/>
        <w:gridCol w:w="3002"/>
        <w:gridCol w:w="4760"/>
      </w:tblGrid>
      <w:tr>
        <w:trPr>
          <w:tblHeader w:val="true"/>
        </w:trPr>
        <w:tc>
          <w:tcPr>
            <w:tcW w:w="1198"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LA-ID</w:t>
            </w:r>
          </w:p>
        </w:tc>
        <w:tc>
          <w:tcPr>
            <w:tcW w:w="3002"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Anforderung (Lastenheft)</w:t>
            </w:r>
          </w:p>
        </w:tc>
        <w:tc>
          <w:tcPr>
            <w:tcW w:w="476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ascii="Arial" w:hAnsi="Arial"/>
                <w:b/>
                <w:bCs/>
                <w:color w:val="FFFFFF"/>
                <w:sz w:val="18"/>
                <w:szCs w:val="18"/>
              </w:rPr>
              <w:t>Technische Umsetzung (Pflichtenheft)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LA-F01</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Anlegen einer Genehmigungsanfrage</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Implementierung als SAP RAP Business Objekt mit Create-Operation in der Behavior Definition.</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LA-F02</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Verschiedene Antragskategorien</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Antragskategorien werden als separate CDS-Entität modelliert und über eine Beziehung mit dem Antragsobjekt verknüpft.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LA-F03</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Kostenabfrage bei kostenrelevanten Vorgängen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Steuerung über ein Statusfeld in der Hauptentität; Wizard-Schritt wird dynamisch anhand der Kategorie eingeblendet.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LA-F04</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Statuswechsel und Backoffice-Benachrichtigung</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Statuswechsel wird über eine Action in der Behavior Definition gesteuert. Benachrichtigung erfolgt über SAP-seitige Notification.</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LA-F05</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Kostenerfassung mit Prioritäten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Kostenpositionen werden als untergeordnete Entität (Child Entity) modelliert und mit aufsteigender Priorität erfasst.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LA-F06</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Einreichen zur Genehmigung</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Implementiert als eigene Action 'Zur Genehmigung senden' in der Behavior Definition; setzt den Status auf 'Zur Genehmigung gesendet'.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LA-F07</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Ein- und mehrstufiges Genehmigungsverfahren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Genehmigungsstufen werden über das Berechtigungskonzept gesteuert. Genehmiger-Gruppen werden über Business Configuration Maintenance Objekte verwaltet.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LA-F08</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Genehmigen, Ablehnen, Weiterleiten</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Drei separate Actions in der Behavior Definition: 'Genehmigen', 'Ablehnen', 'Weiterleiten'. Zugriff nur für berechtigte Benutzergruppen.</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LA-F09</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Sichtbarkeit von Statusänderungen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Status wird als persistiertes Feld in der Hauptentität gespeichert und in der Listenansicht für alle Beteiligten angezeigt.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LA-F10</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Automatische Benachrichtigungen</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Benachrichtigungen werden über SAP-seitige Determination-Logik bei Statusänderungen ausgelöst.</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LA-F11</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Kommentarfunktion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Implementiert als Freitextfeld in der Genehmigungsentität; wird beim Genehmigen oder Ablehnen befüllt.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LA-F12</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Kostenneutrale Vorgänge</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Gesteuert über die Antragskategorie; bei kostenneutralen Kategorien entfällt der Kostenschritt im Wizard.</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LA-F13</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Berechtigungskonzept</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Zweistufiges Berechtigungskonzept über Business Configuration Maintenance Objekte; Beantragungsgruppen und Genehmigungsgruppen werden separat verwaltet und mit Antragskategorien verknüpft.</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LA-NF01</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Integration in MIBS-Virtualdesk</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Native Integration als SAP Fiori Elements App über den automatisch generierten OData-V4-Service des RAP-Frameworks.</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bCs/>
                <w:sz w:val="17"/>
                <w:szCs w:val="17"/>
              </w:rPr>
              <w:t>LA-NF02</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Intuitive Bedienbarkeit</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sz w:val="17"/>
                <w:szCs w:val="17"/>
              </w:rPr>
              <w:t>Mehrstufiger Wizard führt Mitarbeiter geführt durch den Antragsprozess; Fiori Design Guidelines gewährleisten konsistente UX.</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bCs/>
                <w:sz w:val="17"/>
                <w:szCs w:val="17"/>
              </w:rPr>
              <w:t>LA-NF03</w:t>
            </w:r>
          </w:p>
        </w:tc>
        <w:tc>
          <w:tcPr>
            <w:tcW w:w="3002"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Prozessstabilität bei Abwesenheiten</w:t>
            </w:r>
          </w:p>
        </w:tc>
        <w:tc>
          <w:tcPr>
            <w:tcW w:w="47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sz w:val="17"/>
                <w:szCs w:val="17"/>
              </w:rPr>
              <w:t>Weiterleitungsfunktion ermöglicht es Genehmigern, Anträge an Vertreter weiterzuleiten ohne den Prozess zu blockieren.</w:t>
            </w:r>
          </w:p>
        </w:tc>
      </w:tr>
    </w:tbl>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3. Datenmodell (Überblick)</w:t>
      </w:r>
    </w:p>
    <w:p>
      <w:pPr>
        <w:pStyle w:val="Normal"/>
        <w:spacing w:before="80" w:after="80"/>
        <w:rPr/>
      </w:pPr>
      <w:r>
        <w:rPr>
          <w:rFonts w:eastAsia="Arial" w:cs="Arial" w:ascii="Arial" w:hAnsi="Arial"/>
          <w:b w:val="false"/>
          <w:bCs w:val="false"/>
          <w:sz w:val="20"/>
          <w:szCs w:val="20"/>
        </w:rPr>
        <w:t>Das Datenmodell besteht aus folgenden zentralen Entitäten:</w:t>
      </w:r>
    </w:p>
    <w:p>
      <w:pPr>
        <w:pStyle w:val="ListParagraph"/>
        <w:numPr>
          <w:ilvl w:val="0"/>
          <w:numId w:val="2"/>
        </w:numPr>
        <w:spacing w:before="60" w:after="60"/>
        <w:rPr/>
      </w:pPr>
      <w:r>
        <w:rPr>
          <w:rFonts w:eastAsia="Arial" w:cs="Arial" w:ascii="Arial" w:hAnsi="Arial"/>
          <w:sz w:val="20"/>
          <w:szCs w:val="20"/>
        </w:rPr>
        <w:t>Antrag (Hauptentität): enthält Antragsteller, Kategorie, Status, Datum und Freitextfelder</w:t>
      </w:r>
    </w:p>
    <w:p>
      <w:pPr>
        <w:pStyle w:val="ListParagraph"/>
        <w:numPr>
          <w:ilvl w:val="0"/>
          <w:numId w:val="2"/>
        </w:numPr>
        <w:spacing w:before="60" w:after="60"/>
        <w:rPr/>
      </w:pPr>
      <w:r>
        <w:rPr>
          <w:rFonts w:eastAsia="Arial" w:cs="Arial" w:ascii="Arial" w:hAnsi="Arial"/>
          <w:sz w:val="20"/>
          <w:szCs w:val="20"/>
        </w:rPr>
        <w:t>Antragskategorie: definiert die Art des Vorgangs (kostenrelevant, kostenneutral, kostenunspezifisch)</w:t>
      </w:r>
    </w:p>
    <w:p>
      <w:pPr>
        <w:pStyle w:val="ListParagraph"/>
        <w:numPr>
          <w:ilvl w:val="0"/>
          <w:numId w:val="2"/>
        </w:numPr>
        <w:spacing w:before="60" w:after="60"/>
        <w:rPr/>
      </w:pPr>
      <w:r>
        <w:rPr>
          <w:rFonts w:eastAsia="Arial" w:cs="Arial" w:ascii="Arial" w:hAnsi="Arial"/>
          <w:sz w:val="20"/>
          <w:szCs w:val="20"/>
        </w:rPr>
        <w:t>Kostenposition (untergeordnete Entität): erfasst Bestell-Optionen mit Priorität und Nettopreis</w:t>
      </w:r>
    </w:p>
    <w:p>
      <w:pPr>
        <w:pStyle w:val="ListParagraph"/>
        <w:numPr>
          <w:ilvl w:val="0"/>
          <w:numId w:val="2"/>
        </w:numPr>
        <w:spacing w:before="60" w:after="60"/>
        <w:rPr/>
      </w:pPr>
      <w:r>
        <w:rPr>
          <w:rFonts w:eastAsia="Arial" w:cs="Arial" w:ascii="Arial" w:hAnsi="Arial"/>
          <w:sz w:val="20"/>
          <w:szCs w:val="20"/>
        </w:rPr>
        <w:t>Beantragungsgruppe: definiert, welche Mitarbeiter welche Kategorien beantragen dürfen</w:t>
      </w:r>
    </w:p>
    <w:p>
      <w:pPr>
        <w:pStyle w:val="ListParagraph"/>
        <w:numPr>
          <w:ilvl w:val="0"/>
          <w:numId w:val="2"/>
        </w:numPr>
        <w:spacing w:before="60" w:after="60"/>
        <w:rPr/>
      </w:pPr>
      <w:r>
        <w:rPr>
          <w:rFonts w:eastAsia="Arial" w:cs="Arial" w:ascii="Arial" w:hAnsi="Arial"/>
          <w:sz w:val="20"/>
          <w:szCs w:val="20"/>
        </w:rPr>
        <w:t>Genehmigungsgruppe: definiert, welche Mitarbeiter welche Kategorien genehmigen dürfen</w:t>
      </w:r>
    </w:p>
    <w:p>
      <w:pPr>
        <w:pStyle w:val="Normal"/>
        <w:spacing w:before="100" w:after="100"/>
        <w:rPr/>
      </w:pPr>
      <w:r>
        <w:rPr/>
      </w:r>
    </w:p>
    <w:p>
      <w:pPr>
        <w:pStyle w:val="Normal"/>
        <w:pBdr>
          <w:bottom w:val="single" w:sz="6" w:space="1" w:color="2E75B6"/>
        </w:pBdr>
        <w:spacing w:before="400" w:after="200"/>
        <w:rPr/>
      </w:pPr>
      <w:r>
        <w:rPr>
          <w:rFonts w:eastAsia="Arial" w:cs="Arial" w:ascii="Arial" w:hAnsi="Arial"/>
          <w:b/>
          <w:bCs/>
          <w:color w:val="1F4E79"/>
          <w:sz w:val="32"/>
          <w:szCs w:val="32"/>
        </w:rPr>
        <w:t>4. Benutzeroberfläche</w:t>
      </w:r>
    </w:p>
    <w:p>
      <w:pPr>
        <w:pStyle w:val="Normal"/>
        <w:spacing w:before="80" w:after="80"/>
        <w:rPr/>
      </w:pPr>
      <w:r>
        <w:rPr>
          <w:rFonts w:eastAsia="Arial" w:cs="Arial" w:ascii="Arial" w:hAnsi="Arial"/>
          <w:b w:val="false"/>
          <w:bCs w:val="false"/>
          <w:sz w:val="20"/>
          <w:szCs w:val="20"/>
        </w:rPr>
        <w:t>Die Benutzeroberfläche wird als SAP Fiori Elements Anwendung umgesetzt und gliedert sich in zwei Hauptkomponenten:</w:t>
      </w:r>
    </w:p>
    <w:p>
      <w:pPr>
        <w:pStyle w:val="ListParagraph"/>
        <w:numPr>
          <w:ilvl w:val="0"/>
          <w:numId w:val="2"/>
        </w:numPr>
        <w:spacing w:before="60" w:after="60"/>
        <w:rPr/>
      </w:pPr>
      <w:r>
        <w:rPr>
          <w:rFonts w:eastAsia="Arial" w:cs="Arial" w:ascii="Arial" w:hAnsi="Arial"/>
          <w:sz w:val="20"/>
          <w:szCs w:val="20"/>
        </w:rPr>
        <w:t>Listenansicht: zeigt alle Anträge des jeweiligen Benutzers mit aktuellem Status</w:t>
      </w:r>
    </w:p>
    <w:p>
      <w:pPr>
        <w:pStyle w:val="ListParagraph"/>
        <w:numPr>
          <w:ilvl w:val="0"/>
          <w:numId w:val="2"/>
        </w:numPr>
        <w:spacing w:before="60" w:after="60"/>
        <w:rPr/>
      </w:pPr>
      <w:r>
        <w:rPr>
          <w:rFonts w:eastAsia="Arial" w:cs="Arial" w:ascii="Arial" w:hAnsi="Arial"/>
          <w:sz w:val="20"/>
          <w:szCs w:val="20"/>
        </w:rPr>
        <w:t>Antragsassistent (Wizard): führt den Mitarbeiter schrittweise durch den Antragsprozess und passt sich dynamisch an die gewählte Antragskategorie an</w:t>
      </w:r>
    </w:p>
    <w:p>
      <w:pPr>
        <w:pStyle w:val="Normal"/>
        <w:spacing w:before="100" w:after="100"/>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FreeSans"/>
      <w:color w:val="auto"/>
      <w:kern w:val="0"/>
      <w:sz w:val="20"/>
      <w:szCs w:val="20"/>
      <w:lang w:val="de-D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FreeSans"/>
      <w:b/>
      <w:bCs/>
      <w:color w:val="auto"/>
      <w:kern w:val="0"/>
      <w:sz w:val="20"/>
      <w:szCs w:val="20"/>
      <w:lang w:val="de-DE"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FreeSans"/>
      <w:color w:val="auto"/>
      <w:kern w:val="0"/>
      <w:sz w:val="20"/>
      <w:szCs w:val="20"/>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LibreOffice/26.2.3.2$Linux_X86_64 LibreOffice_project/620$Build-2</Application>
  <AppVersion>15.0000</AppVersion>
  <Pages>5</Pages>
  <Words>831</Words>
  <Characters>6486</Characters>
  <CharactersWithSpaces>7154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2026-05-04T21:14:40Z</dcterms:created>
  <dc:creator>Un-named</dc:creator>
  <dc:description/>
  <dc:language>de-DE</dc:language>
  <cp:lastModifiedBy/>
  <dcterms:modified xsi:type="dcterms:W3CDTF">2026-05-04T23:41:00Z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