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ascii="Arial" w:hAnsi="Arial"/>
          <w:b/>
          <w:bCs/>
          <w:color w:val="1F4E79"/>
          <w:sz w:val="44"/>
          <w:szCs w:val="44"/>
        </w:rPr>
        <w:t>Anhang 1: Auszug Lastenheft</w:t>
      </w:r>
    </w:p>
    <w:p>
      <w:pPr>
        <w:pStyle w:val="Normal"/>
        <w:spacing w:before="0" w:after="300"/>
        <w:jc w:val="center"/>
        <w:rPr/>
      </w:pPr>
      <w:r>
        <w:rPr>
          <w:rFonts w:eastAsia="Arial" w:cs="Arial" w:ascii="Arial" w:hAnsi="Arial"/>
          <w:color w:val="2E75B6"/>
          <w:sz w:val="24"/>
          <w:szCs w:val="24"/>
        </w:rPr>
        <w:t>Antrags- und Genehmigungsanwendung im MIBS-Virtualdesk</w:t>
      </w:r>
    </w:p>
    <w:tbl>
      <w:tblPr>
        <w:tblW w:w="8960" w:type="dxa"/>
        <w:jc w:val="start"/>
        <w:tblInd w:w="0" w:type="dxa"/>
        <w:tblLayout w:type="fixed"/>
        <w:tblCellMar>
          <w:top w:w="80" w:type="dxa"/>
          <w:start w:w="120" w:type="dxa"/>
          <w:bottom w:w="80" w:type="dxa"/>
          <w:end w:w="120" w:type="dxa"/>
        </w:tblCellMar>
      </w:tblPr>
      <w:tblGrid>
        <w:gridCol w:w="2800"/>
        <w:gridCol w:w="6160"/>
      </w:tblGrid>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Auftraggeber</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MIBS AG – Fachbereich</w:t>
            </w:r>
          </w:p>
        </w:tc>
      </w:tr>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Auftragnehmer</w:t>
            </w:r>
          </w:p>
        </w:tc>
        <w:tc>
          <w:tcPr>
            <w:tcW w:w="61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Yannick Spangel</w:t>
            </w:r>
            <w:r>
              <w:rPr>
                <w:rFonts w:eastAsia="Arial" w:cs="Arial" w:ascii="Arial" w:hAnsi="Arial"/>
                <w:sz w:val="18"/>
                <w:szCs w:val="18"/>
              </w:rPr>
              <w:t xml:space="preserve"> (Auszubildender, Fachinformatik AE)</w:t>
            </w:r>
          </w:p>
        </w:tc>
      </w:tr>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Dokumentversion</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1.0</w:t>
            </w:r>
          </w:p>
        </w:tc>
      </w:tr>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Datum</w:t>
            </w:r>
          </w:p>
        </w:tc>
        <w:tc>
          <w:tcPr>
            <w:tcW w:w="61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Oktober 2025</w:t>
            </w:r>
          </w:p>
        </w:tc>
      </w:tr>
      <w:tr>
        <w:trPr>
          <w:trHeight w:val="457" w:hRule="atLeast"/>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Status</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Entwurf</w:t>
            </w:r>
          </w:p>
        </w:tc>
      </w:tr>
    </w:tbl>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1. Einleitung</w:t>
      </w:r>
    </w:p>
    <w:p>
      <w:pPr>
        <w:pStyle w:val="Normal"/>
        <w:spacing w:before="60" w:after="60"/>
        <w:rPr/>
      </w:pPr>
      <w:r>
        <w:rPr>
          <w:rFonts w:eastAsia="Arial" w:cs="Arial" w:ascii="Arial" w:hAnsi="Arial"/>
          <w:sz w:val="20"/>
          <w:szCs w:val="20"/>
        </w:rPr>
        <w:t>Im Folgenden werden die Anforderungen an die Antrags- und Genehmigungsanwendung beschrieben, die im MIBS-Virtualdesk (MVD) umgesetzt werden soll. Die Anwendung soll einen firmenweiten, einheitlichen Prozess für die Beantragung und Genehmigung verschiedener Vorgänge schaffen und dabei vollständig in die bestehende SAP-Infrastruktur des Unternehmens integriert werden.</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2. Zielsetzung</w:t>
      </w:r>
    </w:p>
    <w:p>
      <w:pPr>
        <w:pStyle w:val="Normal"/>
        <w:spacing w:before="60" w:after="60"/>
        <w:rPr/>
      </w:pPr>
      <w:r>
        <w:rPr>
          <w:rFonts w:eastAsia="Arial" w:cs="Arial" w:ascii="Arial" w:hAnsi="Arial"/>
          <w:sz w:val="20"/>
          <w:szCs w:val="20"/>
        </w:rPr>
        <w:t>Ziel des Projekts ist die Ablösung des bisherigen, unstrukturierten Genehmigungsprozesses durch eine zentrale, digitale Lösung. Mitarbeiter sollen Anträge zu verschiedenen Kategorien — wie Hardware, Software, Dienstreisen oder Fortbildungen — direkt im MVD stellen können. Das Management soll diese Anträge zentral einsehen und genehmigen oder ablehnen können. Das Backoffice soll bei Bedarf Kostenvoranschläge ermitteln und hinterlegen können.</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3. Ist-Zustand</w:t>
      </w:r>
    </w:p>
    <w:p>
      <w:pPr>
        <w:pStyle w:val="Normal"/>
        <w:spacing w:before="60" w:after="60"/>
        <w:rPr/>
      </w:pPr>
      <w:r>
        <w:rPr>
          <w:rFonts w:eastAsia="Arial" w:cs="Arial" w:ascii="Arial" w:hAnsi="Arial"/>
          <w:sz w:val="20"/>
          <w:szCs w:val="20"/>
        </w:rPr>
        <w:t>Aktuell existiert kein einheitlicher Genehmigungsprozess im Unternehmen. Mitarbeiter wenden sich je nach Vorgang an den Vorstand oder das Backoffice. Die daraus resultierende Kommunikation per E-Mail oder Microsoft Teams ist zeitaufwendig, fehleranfällig und nicht nachvollziehbar. Es kam bereits vor, dass das Backoffice Bestellungen ausgeführt hat, die nicht vom Vorstand genehmigt waren. Auch bei Dienstreisen entstehen regelmäßig Unklarheiten über Genehmigungsstatus und zulässige Kosten.</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4. Funktionale Anforderungen</w:t>
      </w:r>
    </w:p>
    <w:p>
      <w:pPr>
        <w:pStyle w:val="Normal"/>
        <w:spacing w:before="240" w:after="80"/>
        <w:rPr/>
      </w:pPr>
      <w:r>
        <w:rPr>
          <w:rFonts w:eastAsia="Arial" w:cs="Arial" w:ascii="Arial" w:hAnsi="Arial"/>
          <w:b/>
          <w:bCs/>
          <w:color w:val="2E75B6"/>
          <w:sz w:val="22"/>
          <w:szCs w:val="22"/>
        </w:rPr>
        <w:t>4.1 Antragstellung</w:t>
      </w:r>
    </w:p>
    <w:p>
      <w:pPr>
        <w:pStyle w:val="ListParagraph"/>
        <w:numPr>
          <w:ilvl w:val="0"/>
          <w:numId w:val="3"/>
        </w:numPr>
        <w:spacing w:before="40" w:after="40"/>
        <w:rPr/>
      </w:pPr>
      <w:r>
        <w:rPr>
          <w:rFonts w:eastAsia="Arial" w:cs="Arial" w:ascii="Arial" w:hAnsi="Arial"/>
          <w:b w:val="false"/>
          <w:bCs w:val="false"/>
          <w:sz w:val="20"/>
          <w:szCs w:val="20"/>
        </w:rPr>
        <w:t>Mitarbeiter können eine neue Genehmigungsanfrage im MVD anlegen.</w:t>
      </w:r>
    </w:p>
    <w:p>
      <w:pPr>
        <w:pStyle w:val="ListParagraph"/>
        <w:numPr>
          <w:ilvl w:val="0"/>
          <w:numId w:val="1"/>
        </w:numPr>
        <w:spacing w:before="40" w:after="40"/>
        <w:rPr/>
      </w:pPr>
      <w:r>
        <w:rPr>
          <w:rFonts w:eastAsia="Arial" w:cs="Arial" w:ascii="Arial" w:hAnsi="Arial"/>
          <w:b w:val="false"/>
          <w:bCs w:val="false"/>
          <w:sz w:val="20"/>
          <w:szCs w:val="20"/>
        </w:rPr>
        <w:t>Die Anwendung unterstützt verschiedene Antragskategorien (z.B. Hardware, Software, Dienstreisen, Fortbildungen).</w:t>
      </w:r>
    </w:p>
    <w:p>
      <w:pPr>
        <w:pStyle w:val="ListParagraph"/>
        <w:numPr>
          <w:ilvl w:val="0"/>
          <w:numId w:val="1"/>
        </w:numPr>
        <w:spacing w:before="40" w:after="40"/>
        <w:rPr/>
      </w:pPr>
      <w:r>
        <w:rPr>
          <w:rFonts w:eastAsia="Arial" w:cs="Arial" w:ascii="Arial" w:hAnsi="Arial"/>
          <w:b w:val="false"/>
          <w:bCs w:val="false"/>
          <w:sz w:val="20"/>
          <w:szCs w:val="20"/>
        </w:rPr>
        <w:t>Bei kostenrelevanten Vorgängen kann der Antragsteller angeben, ob die Kosten bereits bekannt sind.</w:t>
      </w:r>
    </w:p>
    <w:p>
      <w:pPr>
        <w:pStyle w:val="ListParagraph"/>
        <w:numPr>
          <w:ilvl w:val="0"/>
          <w:numId w:val="1"/>
        </w:numPr>
        <w:spacing w:before="40" w:after="40"/>
        <w:rPr/>
      </w:pPr>
      <w:r>
        <w:rPr>
          <w:rFonts w:eastAsia="Arial" w:cs="Arial" w:ascii="Arial" w:hAnsi="Arial"/>
          <w:b w:val="false"/>
          <w:bCs w:val="false"/>
          <w:sz w:val="20"/>
          <w:szCs w:val="20"/>
        </w:rPr>
        <w:t>Sind die Kosten nicht bekannt, wird das Backoffice benachrichtigt und kann Kostenvoranschläge mit Priorität erfassen.</w:t>
      </w:r>
    </w:p>
    <w:p>
      <w:pPr>
        <w:pStyle w:val="ListParagraph"/>
        <w:numPr>
          <w:ilvl w:val="0"/>
          <w:numId w:val="1"/>
        </w:numPr>
        <w:spacing w:before="40" w:after="40"/>
        <w:rPr/>
      </w:pPr>
      <w:r>
        <w:rPr>
          <w:rFonts w:eastAsia="Arial" w:cs="Arial" w:ascii="Arial" w:hAnsi="Arial"/>
          <w:b w:val="false"/>
          <w:bCs w:val="false"/>
          <w:sz w:val="20"/>
          <w:szCs w:val="20"/>
        </w:rPr>
        <w:t>Fertig erfasste Anträge können zur Genehmigung eingereicht werden.</w:t>
      </w:r>
    </w:p>
    <w:p>
      <w:pPr>
        <w:pStyle w:val="ListParagraph"/>
        <w:numPr>
          <w:ilvl w:val="0"/>
          <w:numId w:val="1"/>
        </w:numPr>
        <w:spacing w:before="40" w:after="40"/>
        <w:rPr/>
      </w:pPr>
      <w:r>
        <w:rPr>
          <w:rFonts w:eastAsia="Arial" w:cs="Arial" w:ascii="Arial" w:hAnsi="Arial"/>
          <w:b w:val="false"/>
          <w:bCs w:val="false"/>
          <w:sz w:val="20"/>
          <w:szCs w:val="20"/>
        </w:rPr>
        <w:t>Kostenneutrale und kostenunspezifische Vorgänge können ebenfalls beantragt werden.</w:t>
      </w:r>
    </w:p>
    <w:p>
      <w:pPr>
        <w:pStyle w:val="Normal"/>
        <w:spacing w:before="60" w:after="60"/>
        <w:rPr/>
      </w:pPr>
      <w:r>
        <w:rPr/>
      </w:r>
    </w:p>
    <w:p>
      <w:pPr>
        <w:pStyle w:val="Normal"/>
        <w:spacing w:before="240" w:after="80"/>
        <w:rPr/>
      </w:pPr>
      <w:r>
        <w:rPr>
          <w:rFonts w:eastAsia="Arial" w:cs="Arial" w:ascii="Arial" w:hAnsi="Arial"/>
          <w:b/>
          <w:bCs/>
          <w:color w:val="2E75B6"/>
          <w:sz w:val="22"/>
          <w:szCs w:val="22"/>
        </w:rPr>
        <w:t>4.2 Genehmigungsprozess</w:t>
      </w:r>
    </w:p>
    <w:p>
      <w:pPr>
        <w:pStyle w:val="ListParagraph"/>
        <w:numPr>
          <w:ilvl w:val="0"/>
          <w:numId w:val="1"/>
        </w:numPr>
        <w:spacing w:before="40" w:after="40"/>
        <w:rPr/>
      </w:pPr>
      <w:r>
        <w:rPr>
          <w:rFonts w:eastAsia="Arial" w:cs="Arial" w:ascii="Arial" w:hAnsi="Arial"/>
          <w:b w:val="false"/>
          <w:bCs w:val="false"/>
          <w:sz w:val="20"/>
          <w:szCs w:val="20"/>
        </w:rPr>
        <w:t>Die Anwendung unterstützt ein ein- und mehrstufiges Genehmigungsverfahren.</w:t>
      </w:r>
    </w:p>
    <w:p>
      <w:pPr>
        <w:pStyle w:val="ListParagraph"/>
        <w:numPr>
          <w:ilvl w:val="0"/>
          <w:numId w:val="1"/>
        </w:numPr>
        <w:spacing w:before="40" w:after="40"/>
        <w:rPr/>
      </w:pPr>
      <w:r>
        <w:rPr>
          <w:rFonts w:eastAsia="Arial" w:cs="Arial" w:ascii="Arial" w:hAnsi="Arial"/>
          <w:b w:val="false"/>
          <w:bCs w:val="false"/>
          <w:sz w:val="20"/>
          <w:szCs w:val="20"/>
        </w:rPr>
        <w:t>Genehmiger können Anträge genehmigen, ablehnen oder an einen weiteren Genehmiger weiterleiten.</w:t>
      </w:r>
    </w:p>
    <w:p>
      <w:pPr>
        <w:pStyle w:val="ListParagraph"/>
        <w:numPr>
          <w:ilvl w:val="0"/>
          <w:numId w:val="1"/>
        </w:numPr>
        <w:spacing w:before="40" w:after="40"/>
        <w:rPr/>
      </w:pPr>
      <w:r>
        <w:rPr>
          <w:rFonts w:eastAsia="Arial" w:cs="Arial" w:ascii="Arial" w:hAnsi="Arial"/>
          <w:b w:val="false"/>
          <w:bCs w:val="false"/>
          <w:sz w:val="20"/>
          <w:szCs w:val="20"/>
        </w:rPr>
        <w:t>Alle Statusänderungen sind für Antragsteller und Genehmiger sichtbar.</w:t>
      </w:r>
    </w:p>
    <w:p>
      <w:pPr>
        <w:pStyle w:val="ListParagraph"/>
        <w:numPr>
          <w:ilvl w:val="0"/>
          <w:numId w:val="1"/>
        </w:numPr>
        <w:spacing w:before="40" w:after="40"/>
        <w:rPr/>
      </w:pPr>
      <w:r>
        <w:rPr>
          <w:rFonts w:eastAsia="Arial" w:cs="Arial" w:ascii="Arial" w:hAnsi="Arial"/>
          <w:b w:val="false"/>
          <w:bCs w:val="false"/>
          <w:sz w:val="20"/>
          <w:szCs w:val="20"/>
        </w:rPr>
        <w:t>In jeder Genehmigungsanfrage gibt es eine Kommentarfunktion für Genehmiger.</w:t>
      </w:r>
    </w:p>
    <w:p>
      <w:pPr>
        <w:pStyle w:val="Normal"/>
        <w:spacing w:before="60" w:after="60"/>
        <w:rPr/>
      </w:pPr>
      <w:r>
        <w:rPr/>
      </w:r>
    </w:p>
    <w:p>
      <w:pPr>
        <w:pStyle w:val="Normal"/>
        <w:spacing w:before="240" w:after="80"/>
        <w:rPr/>
      </w:pPr>
      <w:r>
        <w:rPr>
          <w:rFonts w:eastAsia="Arial" w:cs="Arial" w:ascii="Arial" w:hAnsi="Arial"/>
          <w:b/>
          <w:bCs/>
          <w:color w:val="2E75B6"/>
          <w:sz w:val="22"/>
          <w:szCs w:val="22"/>
        </w:rPr>
        <w:t>4.3 Berechtigungskonzept</w:t>
      </w:r>
    </w:p>
    <w:p>
      <w:pPr>
        <w:pStyle w:val="ListParagraph"/>
        <w:numPr>
          <w:ilvl w:val="0"/>
          <w:numId w:val="1"/>
        </w:numPr>
        <w:spacing w:before="40" w:after="40"/>
        <w:rPr/>
      </w:pPr>
      <w:r>
        <w:rPr>
          <w:rFonts w:eastAsia="Arial" w:cs="Arial" w:ascii="Arial" w:hAnsi="Arial"/>
          <w:b w:val="false"/>
          <w:bCs w:val="false"/>
          <w:sz w:val="20"/>
          <w:szCs w:val="20"/>
        </w:rPr>
        <w:t>Die Anwendung ist nur für berechtigte Mitarbeitergruppen zugänglich.</w:t>
      </w:r>
    </w:p>
    <w:p>
      <w:pPr>
        <w:pStyle w:val="ListParagraph"/>
        <w:numPr>
          <w:ilvl w:val="0"/>
          <w:numId w:val="1"/>
        </w:numPr>
        <w:spacing w:before="40" w:after="40"/>
        <w:rPr/>
      </w:pPr>
      <w:r>
        <w:rPr>
          <w:rFonts w:eastAsia="Arial" w:cs="Arial" w:ascii="Arial" w:hAnsi="Arial"/>
          <w:b w:val="false"/>
          <w:bCs w:val="false"/>
          <w:sz w:val="20"/>
          <w:szCs w:val="20"/>
        </w:rPr>
        <w:t>Es wird zwischen Beantragungsgruppen (wer darf welche Kategorie beantragen) und Genehmigungsgruppen (wer darf welche Kategorie genehmigen) unterschieden.</w:t>
      </w:r>
    </w:p>
    <w:p>
      <w:pPr>
        <w:pStyle w:val="ListParagraph"/>
        <w:numPr>
          <w:ilvl w:val="0"/>
          <w:numId w:val="1"/>
        </w:numPr>
        <w:spacing w:before="40" w:after="40"/>
        <w:rPr/>
      </w:pPr>
      <w:r>
        <w:rPr>
          <w:rFonts w:eastAsia="Arial" w:cs="Arial" w:ascii="Arial" w:hAnsi="Arial"/>
          <w:b w:val="false"/>
          <w:bCs w:val="false"/>
          <w:sz w:val="20"/>
          <w:szCs w:val="20"/>
        </w:rPr>
        <w:t>Die Verwaltung der Berechtigungsgruppen soll durch den Fachbereich eigenständig möglich sein.</w:t>
      </w:r>
    </w:p>
    <w:p>
      <w:pPr>
        <w:pStyle w:val="Normal"/>
        <w:spacing w:before="60" w:after="60"/>
        <w:rPr/>
      </w:pPr>
      <w:r>
        <w:rPr/>
      </w:r>
    </w:p>
    <w:p>
      <w:pPr>
        <w:pStyle w:val="Normal"/>
        <w:spacing w:before="240" w:after="80"/>
        <w:rPr/>
      </w:pPr>
      <w:r>
        <w:rPr>
          <w:rFonts w:eastAsia="Arial" w:cs="Arial" w:ascii="Arial" w:hAnsi="Arial"/>
          <w:b/>
          <w:bCs/>
          <w:color w:val="2E75B6"/>
          <w:sz w:val="22"/>
          <w:szCs w:val="22"/>
        </w:rPr>
        <w:t>4.4 Benachrichtigungen</w:t>
      </w:r>
    </w:p>
    <w:p>
      <w:pPr>
        <w:pStyle w:val="ListParagraph"/>
        <w:numPr>
          <w:ilvl w:val="0"/>
          <w:numId w:val="1"/>
        </w:numPr>
        <w:spacing w:before="40" w:after="40"/>
        <w:rPr/>
      </w:pPr>
      <w:r>
        <w:rPr>
          <w:rFonts w:eastAsia="Arial" w:cs="Arial" w:ascii="Arial" w:hAnsi="Arial"/>
          <w:b w:val="false"/>
          <w:bCs w:val="false"/>
          <w:sz w:val="20"/>
          <w:szCs w:val="20"/>
        </w:rPr>
        <w:t>Benachrichtigungen werden automatisch bei relevanten Statusänderungen versendet.</w:t>
      </w:r>
    </w:p>
    <w:p>
      <w:pPr>
        <w:pStyle w:val="ListParagraph"/>
        <w:numPr>
          <w:ilvl w:val="0"/>
          <w:numId w:val="1"/>
        </w:numPr>
        <w:spacing w:before="40" w:after="40"/>
        <w:rPr/>
      </w:pPr>
      <w:r>
        <w:rPr>
          <w:rFonts w:eastAsia="Arial" w:cs="Arial" w:ascii="Arial" w:hAnsi="Arial"/>
          <w:b w:val="false"/>
          <w:bCs w:val="false"/>
          <w:sz w:val="20"/>
          <w:szCs w:val="20"/>
        </w:rPr>
        <w:t>Der Antragsteller wird bei jeder Statusänderung informiert.</w:t>
      </w:r>
    </w:p>
    <w:p>
      <w:pPr>
        <w:pStyle w:val="ListParagraph"/>
        <w:numPr>
          <w:ilvl w:val="0"/>
          <w:numId w:val="1"/>
        </w:numPr>
        <w:spacing w:before="40" w:after="40"/>
        <w:rPr/>
      </w:pPr>
      <w:r>
        <w:rPr>
          <w:rFonts w:eastAsia="Arial" w:cs="Arial" w:ascii="Arial" w:hAnsi="Arial"/>
          <w:b w:val="false"/>
          <w:bCs w:val="false"/>
          <w:sz w:val="20"/>
          <w:szCs w:val="20"/>
        </w:rPr>
        <w:t>Der Genehmiger wird beim Einreichen einer Genehmigungsanfrage informiert.</w:t>
      </w:r>
    </w:p>
    <w:p>
      <w:pPr>
        <w:pStyle w:val="ListParagraph"/>
        <w:numPr>
          <w:ilvl w:val="0"/>
          <w:numId w:val="1"/>
        </w:numPr>
        <w:spacing w:before="40" w:after="40"/>
        <w:rPr/>
      </w:pPr>
      <w:r>
        <w:rPr>
          <w:rFonts w:eastAsia="Arial" w:cs="Arial" w:ascii="Arial" w:hAnsi="Arial"/>
          <w:b w:val="false"/>
          <w:bCs w:val="false"/>
          <w:sz w:val="20"/>
          <w:szCs w:val="20"/>
        </w:rPr>
        <w:t>Das Backoffice wird benachrichtigt, wenn Kosten nicht bekannt sind.</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5. Nicht-funktionale Anforderungen</w:t>
      </w:r>
    </w:p>
    <w:p>
      <w:pPr>
        <w:pStyle w:val="Normal"/>
        <w:spacing w:before="60" w:after="60"/>
        <w:rPr/>
      </w:pPr>
      <w:r>
        <w:rPr/>
      </w:r>
    </w:p>
    <w:tbl>
      <w:tblPr>
        <w:tblW w:w="8960" w:type="dxa"/>
        <w:jc w:val="start"/>
        <w:tblInd w:w="0" w:type="dxa"/>
        <w:tblLayout w:type="fixed"/>
        <w:tblCellMar>
          <w:top w:w="80" w:type="dxa"/>
          <w:start w:w="120" w:type="dxa"/>
          <w:bottom w:w="80" w:type="dxa"/>
          <w:end w:w="120" w:type="dxa"/>
        </w:tblCellMar>
      </w:tblPr>
      <w:tblGrid>
        <w:gridCol w:w="1100"/>
        <w:gridCol w:w="5559"/>
        <w:gridCol w:w="1109"/>
        <w:gridCol w:w="1192"/>
      </w:tblGrid>
      <w:tr>
        <w:trPr>
          <w:tblHeader w:val="true"/>
        </w:trPr>
        <w:tc>
          <w:tcPr>
            <w:tcW w:w="11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ascii="Arial" w:hAnsi="Arial"/>
                <w:b/>
                <w:bCs/>
                <w:color w:val="FFFFFF"/>
                <w:sz w:val="18"/>
                <w:szCs w:val="18"/>
              </w:rPr>
              <w:t>ID</w:t>
            </w:r>
          </w:p>
        </w:tc>
        <w:tc>
          <w:tcPr>
            <w:tcW w:w="555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ascii="Arial" w:hAnsi="Arial"/>
                <w:b/>
                <w:bCs/>
                <w:color w:val="FFFFFF"/>
                <w:sz w:val="18"/>
                <w:szCs w:val="18"/>
              </w:rPr>
              <w:t>Anforderung</w:t>
            </w:r>
          </w:p>
        </w:tc>
        <w:tc>
          <w:tcPr>
            <w:tcW w:w="110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ascii="Arial" w:hAnsi="Arial"/>
                <w:b/>
                <w:bCs/>
                <w:color w:val="FFFFFF"/>
                <w:sz w:val="18"/>
                <w:szCs w:val="18"/>
              </w:rPr>
              <w:t>Priorität</w:t>
            </w:r>
          </w:p>
        </w:tc>
        <w:tc>
          <w:tcPr>
            <w:tcW w:w="1192"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ascii="Arial" w:hAnsi="Arial"/>
                <w:b/>
                <w:bCs/>
                <w:color w:val="FFFFFF"/>
                <w:sz w:val="18"/>
                <w:szCs w:val="18"/>
              </w:rPr>
              <w:t>Quelle</w:t>
            </w:r>
          </w:p>
        </w:tc>
      </w:tr>
      <w:tr>
        <w:trPr/>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NF-01</w:t>
            </w:r>
          </w:p>
        </w:tc>
        <w:tc>
          <w:tcPr>
            <w:tcW w:w="5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Die Anwendung wird nahtlos in den bestehenden MIBS-Virtualdesk integriert.</w:t>
            </w:r>
          </w:p>
        </w:tc>
        <w:tc>
          <w:tcPr>
            <w:tcW w:w="110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b/>
                <w:bCs/>
                <w:sz w:val="17"/>
                <w:szCs w:val="17"/>
              </w:rPr>
              <w:t>Muss</w:t>
            </w:r>
          </w:p>
        </w:tc>
        <w:tc>
          <w:tcPr>
            <w:tcW w:w="119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Fachbereich</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NF-02</w:t>
            </w:r>
          </w:p>
        </w:tc>
        <w:tc>
          <w:tcPr>
            <w:tcW w:w="555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Die Benutzeroberfläche ist ohne gesonderte Einweisung bedienbar.</w:t>
            </w:r>
          </w:p>
        </w:tc>
        <w:tc>
          <w:tcPr>
            <w:tcW w:w="110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b w:val="false"/>
                <w:bCs w:val="false"/>
                <w:sz w:val="17"/>
                <w:szCs w:val="17"/>
              </w:rPr>
              <w:t>Soll</w:t>
            </w:r>
          </w:p>
        </w:tc>
        <w:tc>
          <w:tcPr>
            <w:tcW w:w="119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Fachbereich</w:t>
            </w:r>
          </w:p>
        </w:tc>
      </w:tr>
      <w:tr>
        <w:trPr/>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NF-03</w:t>
            </w:r>
          </w:p>
        </w:tc>
        <w:tc>
          <w:tcPr>
            <w:tcW w:w="5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Genehmigungsprozesse werden durch Abwesenheiten einzelner Personen nicht blockiert.</w:t>
            </w:r>
          </w:p>
        </w:tc>
        <w:tc>
          <w:tcPr>
            <w:tcW w:w="110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b w:val="false"/>
                <w:bCs w:val="false"/>
                <w:sz w:val="17"/>
                <w:szCs w:val="17"/>
              </w:rPr>
              <w:t>Soll</w:t>
            </w:r>
          </w:p>
        </w:tc>
        <w:tc>
          <w:tcPr>
            <w:tcW w:w="119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Fachbereich</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NF-04</w:t>
            </w:r>
          </w:p>
        </w:tc>
        <w:tc>
          <w:tcPr>
            <w:tcW w:w="555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Die Anwendung ermöglicht eine spätere Auswertung von Kosten nach Kategorie und Mitarbeiter.</w:t>
            </w:r>
          </w:p>
        </w:tc>
        <w:tc>
          <w:tcPr>
            <w:tcW w:w="110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b w:val="false"/>
                <w:bCs w:val="false"/>
                <w:sz w:val="17"/>
                <w:szCs w:val="17"/>
              </w:rPr>
              <w:t>Kann</w:t>
            </w:r>
          </w:p>
        </w:tc>
        <w:tc>
          <w:tcPr>
            <w:tcW w:w="119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Fachbereich</w:t>
            </w:r>
          </w:p>
        </w:tc>
      </w:tr>
      <w:tr>
        <w:trPr/>
        <w:tc>
          <w:tcPr>
            <w:tcW w:w="11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NF-05</w:t>
            </w:r>
          </w:p>
        </w:tc>
        <w:tc>
          <w:tcPr>
            <w:tcW w:w="5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Die Anwendung entspricht den geltenden SAP-Designrichtlinien (Fiori Design Guidelines).</w:t>
            </w:r>
          </w:p>
        </w:tc>
        <w:tc>
          <w:tcPr>
            <w:tcW w:w="110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b/>
                <w:bCs/>
                <w:sz w:val="17"/>
                <w:szCs w:val="17"/>
              </w:rPr>
              <w:t>Muss</w:t>
            </w:r>
          </w:p>
        </w:tc>
        <w:tc>
          <w:tcPr>
            <w:tcW w:w="119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Entwicklung</w:t>
            </w:r>
          </w:p>
        </w:tc>
      </w:tr>
    </w:tbl>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6. Abgrenzung</w:t>
      </w:r>
    </w:p>
    <w:p>
      <w:pPr>
        <w:pStyle w:val="Normal"/>
        <w:spacing w:before="240" w:after="80"/>
        <w:rPr/>
      </w:pPr>
      <w:r>
        <w:rPr>
          <w:rFonts w:eastAsia="Arial" w:cs="Arial" w:ascii="Arial" w:hAnsi="Arial"/>
          <w:b/>
          <w:bCs/>
          <w:color w:val="2E75B6"/>
          <w:sz w:val="22"/>
          <w:szCs w:val="22"/>
        </w:rPr>
        <w:t>6.1 Was ist im Scope</w:t>
      </w:r>
    </w:p>
    <w:p>
      <w:pPr>
        <w:pStyle w:val="ListParagraph"/>
        <w:numPr>
          <w:ilvl w:val="0"/>
          <w:numId w:val="1"/>
        </w:numPr>
        <w:spacing w:before="40" w:after="40"/>
        <w:rPr/>
      </w:pPr>
      <w:r>
        <w:rPr>
          <w:rFonts w:eastAsia="Arial" w:cs="Arial" w:ascii="Arial" w:hAnsi="Arial"/>
          <w:b w:val="false"/>
          <w:bCs w:val="false"/>
          <w:sz w:val="20"/>
          <w:szCs w:val="20"/>
        </w:rPr>
        <w:t>Erstellen von Genehmigungsanfragen für alle Vorgangsarten</w:t>
      </w:r>
    </w:p>
    <w:p>
      <w:pPr>
        <w:pStyle w:val="ListParagraph"/>
        <w:numPr>
          <w:ilvl w:val="0"/>
          <w:numId w:val="1"/>
        </w:numPr>
        <w:spacing w:before="40" w:after="40"/>
        <w:rPr/>
      </w:pPr>
      <w:r>
        <w:rPr>
          <w:rFonts w:eastAsia="Arial" w:cs="Arial" w:ascii="Arial" w:hAnsi="Arial"/>
          <w:b w:val="false"/>
          <w:bCs w:val="false"/>
          <w:sz w:val="20"/>
          <w:szCs w:val="20"/>
        </w:rPr>
        <w:t>Ein- und mehrstufiges Genehmigungsverfahren</w:t>
      </w:r>
    </w:p>
    <w:p>
      <w:pPr>
        <w:pStyle w:val="ListParagraph"/>
        <w:numPr>
          <w:ilvl w:val="0"/>
          <w:numId w:val="1"/>
        </w:numPr>
        <w:spacing w:before="40" w:after="40"/>
        <w:rPr/>
      </w:pPr>
      <w:r>
        <w:rPr>
          <w:rFonts w:eastAsia="Arial" w:cs="Arial" w:ascii="Arial" w:hAnsi="Arial"/>
          <w:b w:val="false"/>
          <w:bCs w:val="false"/>
          <w:sz w:val="20"/>
          <w:szCs w:val="20"/>
        </w:rPr>
        <w:t>Automatische Statusverwaltung und Benachrichtigungen</w:t>
      </w:r>
    </w:p>
    <w:p>
      <w:pPr>
        <w:pStyle w:val="ListParagraph"/>
        <w:numPr>
          <w:ilvl w:val="0"/>
          <w:numId w:val="1"/>
        </w:numPr>
        <w:spacing w:before="40" w:after="40"/>
        <w:rPr/>
      </w:pPr>
      <w:r>
        <w:rPr>
          <w:rFonts w:eastAsia="Arial" w:cs="Arial" w:ascii="Arial" w:hAnsi="Arial"/>
          <w:b w:val="false"/>
          <w:bCs w:val="false"/>
          <w:sz w:val="20"/>
          <w:szCs w:val="20"/>
        </w:rPr>
        <w:t>Kostenerfassung mit Prioritäten durch das Backoffice</w:t>
      </w:r>
    </w:p>
    <w:p>
      <w:pPr>
        <w:pStyle w:val="ListParagraph"/>
        <w:numPr>
          <w:ilvl w:val="0"/>
          <w:numId w:val="1"/>
        </w:numPr>
        <w:spacing w:before="40" w:after="40"/>
        <w:rPr/>
      </w:pPr>
      <w:r>
        <w:rPr>
          <w:rFonts w:eastAsia="Arial" w:cs="Arial" w:ascii="Arial" w:hAnsi="Arial"/>
          <w:b w:val="false"/>
          <w:bCs w:val="false"/>
          <w:sz w:val="20"/>
          <w:szCs w:val="20"/>
        </w:rPr>
        <w:t>Verwaltung des Berechtigungskonzepts durch den Fachbereich</w:t>
      </w:r>
    </w:p>
    <w:p>
      <w:pPr>
        <w:pStyle w:val="Normal"/>
        <w:spacing w:before="60" w:after="60"/>
        <w:rPr/>
      </w:pPr>
      <w:r>
        <w:rPr/>
      </w:r>
    </w:p>
    <w:p>
      <w:pPr>
        <w:pStyle w:val="Normal"/>
        <w:spacing w:before="240" w:after="80"/>
        <w:rPr/>
      </w:pPr>
      <w:r>
        <w:rPr>
          <w:rFonts w:eastAsia="Arial" w:cs="Arial" w:ascii="Arial" w:hAnsi="Arial"/>
          <w:b/>
          <w:bCs/>
          <w:color w:val="2E75B6"/>
          <w:sz w:val="22"/>
          <w:szCs w:val="22"/>
        </w:rPr>
        <w:t>6.2 Was ist nicht im Scope</w:t>
      </w:r>
    </w:p>
    <w:p>
      <w:pPr>
        <w:pStyle w:val="ListParagraph"/>
        <w:numPr>
          <w:ilvl w:val="0"/>
          <w:numId w:val="1"/>
        </w:numPr>
        <w:spacing w:before="40" w:after="40"/>
        <w:rPr/>
      </w:pPr>
      <w:r>
        <w:rPr>
          <w:rFonts w:eastAsia="Arial" w:cs="Arial" w:ascii="Arial" w:hAnsi="Arial"/>
          <w:b w:val="false"/>
          <w:bCs w:val="false"/>
          <w:sz w:val="20"/>
          <w:szCs w:val="20"/>
        </w:rPr>
        <w:t>Anhängen von Auftragsbestätigungen und Rechnungen</w:t>
      </w:r>
    </w:p>
    <w:p>
      <w:pPr>
        <w:pStyle w:val="ListParagraph"/>
        <w:numPr>
          <w:ilvl w:val="0"/>
          <w:numId w:val="1"/>
        </w:numPr>
        <w:spacing w:before="40" w:after="40"/>
        <w:rPr/>
      </w:pPr>
      <w:r>
        <w:rPr>
          <w:rFonts w:eastAsia="Arial" w:cs="Arial" w:ascii="Arial" w:hAnsi="Arial"/>
          <w:b w:val="false"/>
          <w:bCs w:val="false"/>
          <w:sz w:val="20"/>
          <w:szCs w:val="20"/>
        </w:rPr>
        <w:t>Kosten-Forecast</w:t>
      </w:r>
    </w:p>
    <w:p>
      <w:pPr>
        <w:pStyle w:val="ListParagraph"/>
        <w:numPr>
          <w:ilvl w:val="0"/>
          <w:numId w:val="1"/>
        </w:numPr>
        <w:spacing w:before="40" w:after="40"/>
        <w:rPr/>
      </w:pPr>
      <w:r>
        <w:rPr>
          <w:rFonts w:eastAsia="Arial" w:cs="Arial" w:ascii="Arial" w:hAnsi="Arial"/>
          <w:b w:val="false"/>
          <w:bCs w:val="false"/>
          <w:sz w:val="20"/>
          <w:szCs w:val="20"/>
        </w:rPr>
        <w:t>Anbindung an externe Bestellsysteme</w:t>
      </w:r>
    </w:p>
    <w:p>
      <w:pPr>
        <w:pStyle w:val="Normal"/>
        <w:spacing w:before="60" w:after="0"/>
        <w:rPr/>
        <w:sectPr>
          <w:type w:val="nextPage"/>
          <w:pgSz w:w="11906" w:h="16838"/>
          <w:pgMar w:left="1134" w:right="1134" w:gutter="0" w:header="0" w:top="1134" w:footer="0" w:bottom="1134"/>
          <w:pgNumType w:fmt="decimal"/>
          <w:formProt w:val="false"/>
          <w:textDirection w:val="lrTb"/>
          <w:docGrid w:type="default" w:linePitch="360" w:charSpace="0"/>
        </w:sectPr>
      </w:pPr>
      <w:r>
        <w:rPr/>
      </w:r>
    </w:p>
    <w:p>
      <w:pPr>
        <w:pStyle w:val="Normal"/>
        <w:spacing w:before="0" w:after="60"/>
        <w:jc w:val="center"/>
        <w:rPr/>
      </w:pPr>
      <w:r>
        <w:rPr>
          <w:rFonts w:eastAsia="Arial" w:cs="Arial" w:ascii="Arial" w:hAnsi="Arial"/>
          <w:b/>
          <w:bCs/>
          <w:color w:val="1F4E79"/>
          <w:sz w:val="44"/>
          <w:szCs w:val="44"/>
        </w:rPr>
        <w:t>Anhang 2: Auszug Pflichtenheft</w:t>
      </w:r>
    </w:p>
    <w:p>
      <w:pPr>
        <w:pStyle w:val="Normal"/>
        <w:spacing w:before="0" w:after="300"/>
        <w:jc w:val="center"/>
        <w:rPr/>
      </w:pPr>
      <w:r>
        <w:rPr>
          <w:rFonts w:eastAsia="Arial" w:cs="Arial" w:ascii="Arial" w:hAnsi="Arial"/>
          <w:color w:val="2E75B6"/>
          <w:sz w:val="24"/>
          <w:szCs w:val="24"/>
        </w:rPr>
        <w:t>Antrags- und Genehmigungsanwendung im MIBS-Virtualdesk</w:t>
      </w:r>
    </w:p>
    <w:tbl>
      <w:tblPr>
        <w:tblW w:w="8960" w:type="dxa"/>
        <w:jc w:val="start"/>
        <w:tblInd w:w="0" w:type="dxa"/>
        <w:tblLayout w:type="fixed"/>
        <w:tblCellMar>
          <w:top w:w="80" w:type="dxa"/>
          <w:start w:w="120" w:type="dxa"/>
          <w:bottom w:w="80" w:type="dxa"/>
          <w:end w:w="120" w:type="dxa"/>
        </w:tblCellMar>
      </w:tblPr>
      <w:tblGrid>
        <w:gridCol w:w="2800"/>
        <w:gridCol w:w="6160"/>
      </w:tblGrid>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Auftraggeber</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MIBS AG – Fachbereich</w:t>
            </w:r>
          </w:p>
        </w:tc>
      </w:tr>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Auftragnehmer</w:t>
            </w:r>
          </w:p>
        </w:tc>
        <w:tc>
          <w:tcPr>
            <w:tcW w:w="61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Yannick Spangel</w:t>
            </w:r>
            <w:r>
              <w:rPr>
                <w:rFonts w:eastAsia="Arial" w:cs="Arial" w:ascii="Arial" w:hAnsi="Arial"/>
                <w:sz w:val="18"/>
                <w:szCs w:val="18"/>
              </w:rPr>
              <w:t xml:space="preserve"> (Auszubildender, Fachinformatik AE)</w:t>
            </w:r>
          </w:p>
        </w:tc>
      </w:tr>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Technologie</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SAP RAP, SAP CDS, SAP UI5 / Fiori</w:t>
            </w:r>
          </w:p>
        </w:tc>
      </w:tr>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Zielplattform</w:t>
            </w:r>
          </w:p>
        </w:tc>
        <w:tc>
          <w:tcPr>
            <w:tcW w:w="61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MIBS-Virtualdesk (SAP-basiert)</w:t>
            </w:r>
          </w:p>
        </w:tc>
      </w:tr>
      <w:tr>
        <w:trPr/>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Dokumentversion</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1.0</w:t>
            </w:r>
          </w:p>
        </w:tc>
      </w:tr>
    </w:tbl>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1. Allgemeine Vorgaben &amp; Architektur</w:t>
      </w:r>
    </w:p>
    <w:p>
      <w:pPr>
        <w:pStyle w:val="ListParagraph"/>
        <w:numPr>
          <w:ilvl w:val="0"/>
          <w:numId w:val="1"/>
        </w:numPr>
        <w:spacing w:before="40" w:after="40"/>
        <w:rPr/>
      </w:pPr>
      <w:r>
        <w:rPr>
          <w:rFonts w:eastAsia="Arial" w:cs="Arial" w:ascii="Arial" w:hAnsi="Arial"/>
          <w:b w:val="false"/>
          <w:bCs w:val="false"/>
          <w:sz w:val="20"/>
          <w:szCs w:val="20"/>
        </w:rPr>
        <w:t>Die Anwendung wird als native SAP-Eigenentwicklung auf Basis des SAP RESTful Application Programming Models (RAP) umgesetzt und in den bestehenden MIBS-Virtualdesk integriert.</w:t>
      </w:r>
    </w:p>
    <w:p>
      <w:pPr>
        <w:pStyle w:val="ListParagraph"/>
        <w:numPr>
          <w:ilvl w:val="0"/>
          <w:numId w:val="1"/>
        </w:numPr>
        <w:spacing w:before="40" w:after="40"/>
        <w:rPr/>
      </w:pPr>
      <w:r>
        <w:rPr>
          <w:rFonts w:eastAsia="Arial" w:cs="Arial" w:ascii="Arial" w:hAnsi="Arial"/>
          <w:b w:val="false"/>
          <w:bCs w:val="false"/>
          <w:sz w:val="20"/>
          <w:szCs w:val="20"/>
        </w:rPr>
        <w:t>Die Architektur gliedert sich in drei Schichten: Datenhaltung (CDS Table Entities), Programmlogik (Behavior Definitions) und Benutzeroberfläche (SAP Fiori / UI5).</w:t>
      </w:r>
    </w:p>
    <w:p>
      <w:pPr>
        <w:pStyle w:val="ListParagraph"/>
        <w:numPr>
          <w:ilvl w:val="0"/>
          <w:numId w:val="1"/>
        </w:numPr>
        <w:spacing w:before="40" w:after="40"/>
        <w:rPr/>
      </w:pPr>
      <w:r>
        <w:rPr>
          <w:rFonts w:eastAsia="Arial" w:cs="Arial" w:ascii="Arial" w:hAnsi="Arial"/>
          <w:b w:val="false"/>
          <w:bCs w:val="false"/>
          <w:sz w:val="20"/>
          <w:szCs w:val="20"/>
        </w:rPr>
        <w:t>Der OData-V4-Service wird automatisch aus dem RAP-Framework generiert und stellt die Daten für das Frontend bereit.</w:t>
      </w:r>
    </w:p>
    <w:p>
      <w:pPr>
        <w:pStyle w:val="ListParagraph"/>
        <w:numPr>
          <w:ilvl w:val="0"/>
          <w:numId w:val="1"/>
        </w:numPr>
        <w:spacing w:before="40" w:after="40"/>
        <w:rPr/>
      </w:pPr>
      <w:r>
        <w:rPr>
          <w:rFonts w:eastAsia="Arial" w:cs="Arial" w:ascii="Arial" w:hAnsi="Arial"/>
          <w:b w:val="false"/>
          <w:bCs w:val="false"/>
          <w:sz w:val="20"/>
          <w:szCs w:val="20"/>
        </w:rPr>
        <w:t>Bei allen Oberflächenelementen wird sich an den SAP Fiori Design Guidelines orientiert, um eine konsistente Integration in den MIBS-Virtualdesk zu gewährleisten.</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2. Backend-Logik</w:t>
      </w:r>
    </w:p>
    <w:p>
      <w:pPr>
        <w:pStyle w:val="Normal"/>
        <w:spacing w:before="240" w:after="80"/>
        <w:rPr/>
      </w:pPr>
      <w:r>
        <w:rPr>
          <w:rFonts w:eastAsia="Arial" w:cs="Arial" w:ascii="Arial" w:hAnsi="Arial"/>
          <w:b/>
          <w:bCs/>
          <w:color w:val="2E75B6"/>
          <w:sz w:val="22"/>
          <w:szCs w:val="22"/>
        </w:rPr>
        <w:t>2.1 Datenmodell</w:t>
      </w:r>
    </w:p>
    <w:p>
      <w:pPr>
        <w:pStyle w:val="Normal"/>
        <w:spacing w:before="60" w:after="60"/>
        <w:rPr/>
      </w:pPr>
      <w:r>
        <w:rPr>
          <w:rFonts w:eastAsia="Arial" w:cs="Arial" w:ascii="Arial" w:hAnsi="Arial"/>
          <w:sz w:val="20"/>
          <w:szCs w:val="20"/>
        </w:rPr>
        <w:t>Das Datenmodell besteht aus folgenden zentralen Entitäten:</w:t>
      </w:r>
    </w:p>
    <w:p>
      <w:pPr>
        <w:pStyle w:val="ListParagraph"/>
        <w:numPr>
          <w:ilvl w:val="0"/>
          <w:numId w:val="1"/>
        </w:numPr>
        <w:spacing w:before="40" w:after="40"/>
        <w:rPr/>
      </w:pPr>
      <w:r>
        <w:rPr>
          <w:rFonts w:eastAsia="Arial" w:cs="Arial" w:ascii="Arial" w:hAnsi="Arial"/>
          <w:b w:val="false"/>
          <w:bCs w:val="false"/>
          <w:sz w:val="20"/>
          <w:szCs w:val="20"/>
        </w:rPr>
        <w:t>Antrag (Hauptentität): enthält Antragsteller, Kategorie, Status, Datum und Freitextfelder</w:t>
      </w:r>
    </w:p>
    <w:p>
      <w:pPr>
        <w:pStyle w:val="ListParagraph"/>
        <w:numPr>
          <w:ilvl w:val="0"/>
          <w:numId w:val="1"/>
        </w:numPr>
        <w:spacing w:before="40" w:after="40"/>
        <w:rPr/>
      </w:pPr>
      <w:r>
        <w:rPr>
          <w:rFonts w:eastAsia="Arial" w:cs="Arial" w:ascii="Arial" w:hAnsi="Arial"/>
          <w:b w:val="false"/>
          <w:bCs w:val="false"/>
          <w:sz w:val="20"/>
          <w:szCs w:val="20"/>
        </w:rPr>
        <w:t>Antragskategorie: definiert die Art des Vorgangs (kostenrelevant, kostenneutral, kostenunspezifisch)</w:t>
      </w:r>
    </w:p>
    <w:p>
      <w:pPr>
        <w:pStyle w:val="ListParagraph"/>
        <w:numPr>
          <w:ilvl w:val="0"/>
          <w:numId w:val="1"/>
        </w:numPr>
        <w:spacing w:before="40" w:after="40"/>
        <w:rPr/>
      </w:pPr>
      <w:r>
        <w:rPr>
          <w:rFonts w:eastAsia="Arial" w:cs="Arial" w:ascii="Arial" w:hAnsi="Arial"/>
          <w:b w:val="false"/>
          <w:bCs w:val="false"/>
          <w:sz w:val="20"/>
          <w:szCs w:val="20"/>
        </w:rPr>
        <w:t>Kostenposition (untergeordnete Entität): erfasst Bestell-Optionen mit Priorität und Nettopreis</w:t>
      </w:r>
    </w:p>
    <w:p>
      <w:pPr>
        <w:pStyle w:val="ListParagraph"/>
        <w:numPr>
          <w:ilvl w:val="0"/>
          <w:numId w:val="1"/>
        </w:numPr>
        <w:spacing w:before="40" w:after="40"/>
        <w:rPr/>
      </w:pPr>
      <w:r>
        <w:rPr>
          <w:rFonts w:eastAsia="Arial" w:cs="Arial" w:ascii="Arial" w:hAnsi="Arial"/>
          <w:b w:val="false"/>
          <w:bCs w:val="false"/>
          <w:sz w:val="20"/>
          <w:szCs w:val="20"/>
        </w:rPr>
        <w:t>Beantragungsgruppe: definiert, welche Mitarbeiter welche Kategorien beantragen dürfen</w:t>
      </w:r>
    </w:p>
    <w:p>
      <w:pPr>
        <w:pStyle w:val="ListParagraph"/>
        <w:numPr>
          <w:ilvl w:val="0"/>
          <w:numId w:val="1"/>
        </w:numPr>
        <w:spacing w:before="40" w:after="40"/>
        <w:rPr/>
      </w:pPr>
      <w:r>
        <w:rPr>
          <w:rFonts w:eastAsia="Arial" w:cs="Arial" w:ascii="Arial" w:hAnsi="Arial"/>
          <w:b w:val="false"/>
          <w:bCs w:val="false"/>
          <w:sz w:val="20"/>
          <w:szCs w:val="20"/>
        </w:rPr>
        <w:t>Genehmigungsgruppe: definiert, welche Mitarbeiter welche Kategorien genehmigen dürfen</w:t>
      </w:r>
    </w:p>
    <w:p>
      <w:pPr>
        <w:pStyle w:val="Normal"/>
        <w:spacing w:before="60" w:after="60"/>
        <w:rPr/>
      </w:pPr>
      <w:r>
        <w:rPr/>
      </w:r>
    </w:p>
    <w:p>
      <w:pPr>
        <w:pStyle w:val="Normal"/>
        <w:spacing w:before="240" w:after="80"/>
        <w:rPr/>
      </w:pPr>
      <w:r>
        <w:rPr>
          <w:rFonts w:eastAsia="Arial" w:cs="Arial" w:ascii="Arial" w:hAnsi="Arial"/>
          <w:b/>
          <w:bCs/>
          <w:color w:val="2E75B6"/>
          <w:sz w:val="22"/>
          <w:szCs w:val="22"/>
        </w:rPr>
        <w:t>2.2 Programmlogik</w:t>
      </w:r>
    </w:p>
    <w:p>
      <w:pPr>
        <w:pStyle w:val="ListParagraph"/>
        <w:numPr>
          <w:ilvl w:val="0"/>
          <w:numId w:val="1"/>
        </w:numPr>
        <w:spacing w:before="40" w:after="40"/>
        <w:rPr/>
      </w:pPr>
      <w:r>
        <w:rPr>
          <w:rFonts w:eastAsia="Arial" w:cs="Arial" w:ascii="Arial" w:hAnsi="Arial"/>
          <w:b w:val="false"/>
          <w:bCs w:val="false"/>
          <w:sz w:val="20"/>
          <w:szCs w:val="20"/>
        </w:rPr>
        <w:t>Die Programmlogik wird über SAP RAP Behavior Definitions beschrieben.</w:t>
      </w:r>
    </w:p>
    <w:p>
      <w:pPr>
        <w:pStyle w:val="ListParagraph"/>
        <w:numPr>
          <w:ilvl w:val="0"/>
          <w:numId w:val="1"/>
        </w:numPr>
        <w:spacing w:before="40" w:after="40"/>
        <w:rPr/>
      </w:pPr>
      <w:r>
        <w:rPr>
          <w:rFonts w:eastAsia="Arial" w:cs="Arial" w:ascii="Arial" w:hAnsi="Arial"/>
          <w:b w:val="false"/>
          <w:bCs w:val="false"/>
          <w:sz w:val="20"/>
          <w:szCs w:val="20"/>
        </w:rPr>
        <w:t>Für die Hauptentität werden die Operationen Create, Update und Delete implementiert.</w:t>
      </w:r>
    </w:p>
    <w:p>
      <w:pPr>
        <w:pStyle w:val="ListParagraph"/>
        <w:numPr>
          <w:ilvl w:val="0"/>
          <w:numId w:val="1"/>
        </w:numPr>
        <w:spacing w:before="40" w:after="40"/>
        <w:rPr/>
      </w:pPr>
      <w:r>
        <w:rPr>
          <w:rFonts w:eastAsia="Arial" w:cs="Arial" w:ascii="Arial" w:hAnsi="Arial"/>
          <w:b w:val="false"/>
          <w:bCs w:val="false"/>
          <w:sz w:val="20"/>
          <w:szCs w:val="20"/>
        </w:rPr>
        <w:t>Eigene Validierungen stellen sicher, dass Eingaben serverseitig geprüft werden, bevor sie gespeichert werden.</w:t>
      </w:r>
    </w:p>
    <w:p>
      <w:pPr>
        <w:pStyle w:val="ListParagraph"/>
        <w:numPr>
          <w:ilvl w:val="0"/>
          <w:numId w:val="1"/>
        </w:numPr>
        <w:spacing w:before="40" w:after="40"/>
        <w:rPr/>
      </w:pPr>
      <w:r>
        <w:rPr>
          <w:rFonts w:eastAsia="Arial" w:cs="Arial" w:ascii="Arial" w:hAnsi="Arial"/>
          <w:b w:val="false"/>
          <w:bCs w:val="false"/>
          <w:sz w:val="20"/>
          <w:szCs w:val="20"/>
        </w:rPr>
        <w:t>Für den Genehmigungsprozess werden eigene Actions implementiert: 'Zur Genehmigung senden', 'Genehmigen', 'Ablehnen' und 'Weiterleiten'.</w:t>
      </w:r>
    </w:p>
    <w:p>
      <w:pPr>
        <w:pStyle w:val="ListParagraph"/>
        <w:numPr>
          <w:ilvl w:val="0"/>
          <w:numId w:val="1"/>
        </w:numPr>
        <w:spacing w:before="40" w:after="40"/>
        <w:rPr/>
      </w:pPr>
      <w:r>
        <w:rPr>
          <w:rFonts w:eastAsia="Arial" w:cs="Arial" w:ascii="Arial" w:hAnsi="Arial"/>
          <w:b w:val="false"/>
          <w:bCs w:val="false"/>
          <w:sz w:val="20"/>
          <w:szCs w:val="20"/>
        </w:rPr>
        <w:t>Die Actions sind ausschließlich für Benutzer mit der entsprechenden Genehmigungsberechtigung ausführbar.</w:t>
      </w:r>
    </w:p>
    <w:p>
      <w:pPr>
        <w:pStyle w:val="Normal"/>
        <w:spacing w:before="60" w:after="60"/>
        <w:rPr/>
      </w:pPr>
      <w:r>
        <w:rPr/>
      </w:r>
    </w:p>
    <w:p>
      <w:pPr>
        <w:pStyle w:val="Normal"/>
        <w:spacing w:before="240" w:after="80"/>
        <w:rPr/>
      </w:pPr>
      <w:r>
        <w:rPr>
          <w:rFonts w:eastAsia="Arial" w:cs="Arial" w:ascii="Arial" w:hAnsi="Arial"/>
          <w:b/>
          <w:bCs/>
          <w:color w:val="2E75B6"/>
          <w:sz w:val="22"/>
          <w:szCs w:val="22"/>
        </w:rPr>
        <w:t>2.3 Berechtigungskonzept</w:t>
      </w:r>
    </w:p>
    <w:p>
      <w:pPr>
        <w:pStyle w:val="ListParagraph"/>
        <w:numPr>
          <w:ilvl w:val="0"/>
          <w:numId w:val="1"/>
        </w:numPr>
        <w:spacing w:before="40" w:after="40"/>
        <w:rPr/>
      </w:pPr>
      <w:r>
        <w:rPr>
          <w:rFonts w:eastAsia="Arial" w:cs="Arial" w:ascii="Arial" w:hAnsi="Arial"/>
          <w:b w:val="false"/>
          <w:bCs w:val="false"/>
          <w:sz w:val="20"/>
          <w:szCs w:val="20"/>
        </w:rPr>
        <w:t>Das Berechtigungskonzept wird über Business Configuration Maintenance Objekte (BCO) umgesetzt.</w:t>
      </w:r>
    </w:p>
    <w:p>
      <w:pPr>
        <w:pStyle w:val="ListParagraph"/>
        <w:numPr>
          <w:ilvl w:val="0"/>
          <w:numId w:val="1"/>
        </w:numPr>
        <w:spacing w:before="40" w:after="40"/>
        <w:rPr/>
      </w:pPr>
      <w:r>
        <w:rPr>
          <w:rFonts w:eastAsia="Arial" w:cs="Arial" w:ascii="Arial" w:hAnsi="Arial"/>
          <w:b w:val="false"/>
          <w:bCs w:val="false"/>
          <w:sz w:val="20"/>
          <w:szCs w:val="20"/>
        </w:rPr>
        <w:t>BCOs ermöglichen es dem Fachbereich, Berechtigungsgruppen und deren Zuordnung zu Antragskategorien eigenständig über eine standardisierte Fiori-Oberfläche zu pflegen — ohne Anpassungen am Quellcode.</w:t>
      </w:r>
    </w:p>
    <w:p>
      <w:pPr>
        <w:pStyle w:val="ListParagraph"/>
        <w:numPr>
          <w:ilvl w:val="0"/>
          <w:numId w:val="1"/>
        </w:numPr>
        <w:spacing w:before="40" w:after="40"/>
        <w:rPr/>
      </w:pPr>
      <w:r>
        <w:rPr>
          <w:rFonts w:eastAsia="Arial" w:cs="Arial" w:ascii="Arial" w:hAnsi="Arial"/>
          <w:b w:val="false"/>
          <w:bCs w:val="false"/>
          <w:sz w:val="20"/>
          <w:szCs w:val="20"/>
        </w:rPr>
        <w:t>Es wird zwischen Beantragungsgruppen und Genehmigungsgruppen unterschieden.</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3. Benutzeroberfläche (Frontend)</w:t>
      </w:r>
    </w:p>
    <w:p>
      <w:pPr>
        <w:pStyle w:val="Normal"/>
        <w:spacing w:before="240" w:after="80"/>
        <w:rPr/>
      </w:pPr>
      <w:r>
        <w:rPr>
          <w:rFonts w:eastAsia="Arial" w:cs="Arial" w:ascii="Arial" w:hAnsi="Arial"/>
          <w:b/>
          <w:bCs/>
          <w:color w:val="2E75B6"/>
          <w:sz w:val="22"/>
          <w:szCs w:val="22"/>
        </w:rPr>
        <w:t>3.1 Listenansicht</w:t>
      </w:r>
    </w:p>
    <w:p>
      <w:pPr>
        <w:pStyle w:val="ListParagraph"/>
        <w:numPr>
          <w:ilvl w:val="0"/>
          <w:numId w:val="1"/>
        </w:numPr>
        <w:spacing w:before="40" w:after="40"/>
        <w:rPr/>
      </w:pPr>
      <w:r>
        <w:rPr>
          <w:rFonts w:eastAsia="Arial" w:cs="Arial" w:ascii="Arial" w:hAnsi="Arial"/>
          <w:b w:val="false"/>
          <w:bCs w:val="false"/>
          <w:sz w:val="20"/>
          <w:szCs w:val="20"/>
        </w:rPr>
        <w:t>Die Antragsübersicht wird als SAP Fiori Elements List Extension realisiert.</w:t>
      </w:r>
    </w:p>
    <w:p>
      <w:pPr>
        <w:pStyle w:val="ListParagraph"/>
        <w:numPr>
          <w:ilvl w:val="0"/>
          <w:numId w:val="1"/>
        </w:numPr>
        <w:spacing w:before="40" w:after="40"/>
        <w:rPr/>
      </w:pPr>
      <w:r>
        <w:rPr>
          <w:rFonts w:eastAsia="Arial" w:cs="Arial" w:ascii="Arial" w:hAnsi="Arial"/>
          <w:b w:val="false"/>
          <w:bCs w:val="false"/>
          <w:sz w:val="20"/>
          <w:szCs w:val="20"/>
        </w:rPr>
        <w:t>Die Listenansicht zeigt alle relevanten Anträge mit aktuellem Status für den jeweiligen Benutzer.</w:t>
      </w:r>
    </w:p>
    <w:p>
      <w:pPr>
        <w:pStyle w:val="ListParagraph"/>
        <w:numPr>
          <w:ilvl w:val="0"/>
          <w:numId w:val="1"/>
        </w:numPr>
        <w:spacing w:before="40" w:after="40"/>
        <w:rPr/>
      </w:pPr>
      <w:r>
        <w:rPr>
          <w:rFonts w:eastAsia="Arial" w:cs="Arial" w:ascii="Arial" w:hAnsi="Arial"/>
          <w:b w:val="false"/>
          <w:bCs w:val="false"/>
          <w:sz w:val="20"/>
          <w:szCs w:val="20"/>
        </w:rPr>
        <w:t>Der standardmäßige 'Anlegen'-Button wird über einen Extension Point überschrieben und leitet auf den Antragsassistenten weiter.</w:t>
      </w:r>
    </w:p>
    <w:p>
      <w:pPr>
        <w:pStyle w:val="Normal"/>
        <w:spacing w:before="60" w:after="60"/>
        <w:rPr/>
      </w:pPr>
      <w:r>
        <w:rPr/>
      </w:r>
    </w:p>
    <w:p>
      <w:pPr>
        <w:pStyle w:val="Normal"/>
        <w:spacing w:before="240" w:after="80"/>
        <w:rPr/>
      </w:pPr>
      <w:r>
        <w:rPr>
          <w:rFonts w:eastAsia="Arial" w:cs="Arial" w:ascii="Arial" w:hAnsi="Arial"/>
          <w:b/>
          <w:bCs/>
          <w:color w:val="2E75B6"/>
          <w:sz w:val="22"/>
          <w:szCs w:val="22"/>
        </w:rPr>
        <w:t>3.2 Antragsassistent (Wizard)</w:t>
      </w:r>
    </w:p>
    <w:p>
      <w:pPr>
        <w:pStyle w:val="ListParagraph"/>
        <w:numPr>
          <w:ilvl w:val="0"/>
          <w:numId w:val="1"/>
        </w:numPr>
        <w:spacing w:before="40" w:after="40"/>
        <w:rPr/>
      </w:pPr>
      <w:r>
        <w:rPr>
          <w:rFonts w:eastAsia="Arial" w:cs="Arial" w:ascii="Arial" w:hAnsi="Arial"/>
          <w:b w:val="false"/>
          <w:bCs w:val="false"/>
          <w:sz w:val="20"/>
          <w:szCs w:val="20"/>
        </w:rPr>
        <w:t>Für die Antragsstellung wird ein mehrstufiger Assistent (Wizard) entwickelt, der den Mitarbeiter geführt durch den Antragsprozess leitet.</w:t>
      </w:r>
    </w:p>
    <w:p>
      <w:pPr>
        <w:pStyle w:val="ListParagraph"/>
        <w:numPr>
          <w:ilvl w:val="0"/>
          <w:numId w:val="1"/>
        </w:numPr>
        <w:spacing w:before="40" w:after="40"/>
        <w:rPr/>
      </w:pPr>
      <w:r>
        <w:rPr>
          <w:rFonts w:eastAsia="Arial" w:cs="Arial" w:ascii="Arial" w:hAnsi="Arial"/>
          <w:b w:val="false"/>
          <w:bCs w:val="false"/>
          <w:sz w:val="20"/>
          <w:szCs w:val="20"/>
        </w:rPr>
        <w:t>Der Wizard passt sich dynamisch an die gewählte Antragskategorie an.</w:t>
      </w:r>
    </w:p>
    <w:p>
      <w:pPr>
        <w:pStyle w:val="ListParagraph"/>
        <w:numPr>
          <w:ilvl w:val="0"/>
          <w:numId w:val="1"/>
        </w:numPr>
        <w:spacing w:before="40" w:after="40"/>
        <w:rPr/>
      </w:pPr>
      <w:r>
        <w:rPr>
          <w:rFonts w:eastAsia="Arial" w:cs="Arial" w:ascii="Arial" w:hAnsi="Arial"/>
          <w:b w:val="false"/>
          <w:bCs w:val="false"/>
          <w:sz w:val="20"/>
          <w:szCs w:val="20"/>
        </w:rPr>
        <w:t>Bei kostenrelevanten Kategorien wird ein zusätzlicher Schritt eingeblendet, in dem die voraussichtlichen Kosten erfasst werden können.</w:t>
      </w:r>
    </w:p>
    <w:p>
      <w:pPr>
        <w:pStyle w:val="ListParagraph"/>
        <w:numPr>
          <w:ilvl w:val="0"/>
          <w:numId w:val="1"/>
        </w:numPr>
        <w:spacing w:before="40" w:after="40"/>
        <w:rPr/>
      </w:pPr>
      <w:r>
        <w:rPr>
          <w:rFonts w:eastAsia="Arial" w:cs="Arial" w:ascii="Arial" w:hAnsi="Arial"/>
          <w:b w:val="false"/>
          <w:bCs w:val="false"/>
          <w:sz w:val="20"/>
          <w:szCs w:val="20"/>
        </w:rPr>
        <w:t>Die im Backend definierten Validierungen und Berechtigungen greifen durchgängig auch innerhalb des Wizards.</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4. Test- und Entwicklungsumgebung</w:t>
      </w:r>
    </w:p>
    <w:p>
      <w:pPr>
        <w:pStyle w:val="ListParagraph"/>
        <w:numPr>
          <w:ilvl w:val="0"/>
          <w:numId w:val="1"/>
        </w:numPr>
        <w:spacing w:before="40" w:after="40"/>
        <w:rPr/>
      </w:pPr>
      <w:r>
        <w:rPr>
          <w:rFonts w:eastAsia="Arial" w:cs="Arial" w:ascii="Arial" w:hAnsi="Arial"/>
          <w:b w:val="false"/>
          <w:bCs w:val="false"/>
          <w:sz w:val="20"/>
          <w:szCs w:val="20"/>
        </w:rPr>
        <w:t>Die Entwicklung erfolgt auf dem bestehenden SAP-Entwicklungssystem der MIBS AG.</w:t>
      </w:r>
    </w:p>
    <w:p>
      <w:pPr>
        <w:pStyle w:val="ListParagraph"/>
        <w:numPr>
          <w:ilvl w:val="0"/>
          <w:numId w:val="1"/>
        </w:numPr>
        <w:spacing w:before="40" w:after="40"/>
        <w:rPr/>
      </w:pPr>
      <w:r>
        <w:rPr>
          <w:rFonts w:eastAsia="Arial" w:cs="Arial" w:ascii="Arial" w:hAnsi="Arial"/>
          <w:b w:val="false"/>
          <w:bCs w:val="false"/>
          <w:sz w:val="20"/>
          <w:szCs w:val="20"/>
        </w:rPr>
        <w:t>Nach Abschluss der Entwicklung und der internen Tests wird die Anwendung zunächst auf dem Entwicklungssystem durch den Fachbereich abgenommen.</w:t>
      </w:r>
    </w:p>
    <w:p>
      <w:pPr>
        <w:pStyle w:val="ListParagraph"/>
        <w:numPr>
          <w:ilvl w:val="0"/>
          <w:numId w:val="1"/>
        </w:numPr>
        <w:spacing w:before="40" w:after="40"/>
        <w:rPr/>
      </w:pPr>
      <w:r>
        <w:rPr>
          <w:rFonts w:eastAsia="Arial" w:cs="Arial" w:ascii="Arial" w:hAnsi="Arial"/>
          <w:b w:val="false"/>
          <w:bCs w:val="false"/>
          <w:sz w:val="20"/>
          <w:szCs w:val="20"/>
        </w:rPr>
        <w:t>Nach erfolgreicher Abnahme erfolgt der Transport in das Produktivsystem.</w:t>
      </w:r>
    </w:p>
    <w:p>
      <w:pPr>
        <w:pStyle w:val="ListParagraph"/>
        <w:numPr>
          <w:ilvl w:val="0"/>
          <w:numId w:val="1"/>
        </w:numPr>
        <w:spacing w:before="40" w:after="40"/>
        <w:rPr/>
      </w:pPr>
      <w:r>
        <w:rPr>
          <w:rFonts w:eastAsia="Arial" w:cs="Arial" w:ascii="Arial" w:hAnsi="Arial"/>
          <w:b w:val="false"/>
          <w:bCs w:val="false"/>
          <w:sz w:val="20"/>
          <w:szCs w:val="20"/>
        </w:rPr>
        <w:t>Es wird eine Testmatrix für alle funktionalen Anforderungen erstellt, die an den Softwarequalitätsmerkmalen der ISO 25010 ausgerichtet ist.</w:t>
      </w:r>
    </w:p>
    <w:p>
      <w:pPr>
        <w:pStyle w:val="Normal"/>
        <w:spacing w:before="60" w:after="60"/>
        <w:rPr/>
      </w:pPr>
      <w:r>
        <w:rPr/>
      </w:r>
    </w:p>
    <w:p>
      <w:pPr>
        <w:pStyle w:val="Normal"/>
        <w:pBdr>
          <w:bottom w:val="single" w:sz="4" w:space="1" w:color="2E75B6"/>
        </w:pBdr>
        <w:spacing w:before="360" w:after="120"/>
        <w:rPr/>
      </w:pPr>
      <w:r>
        <w:rPr>
          <w:rFonts w:eastAsia="Arial" w:cs="Arial" w:ascii="Arial" w:hAnsi="Arial"/>
          <w:b/>
          <w:bCs/>
          <w:color w:val="1F4E79"/>
          <w:sz w:val="28"/>
          <w:szCs w:val="28"/>
        </w:rPr>
        <w:t>5. Dokumentation und Übergabe</w:t>
      </w:r>
    </w:p>
    <w:p>
      <w:pPr>
        <w:pStyle w:val="ListParagraph"/>
        <w:numPr>
          <w:ilvl w:val="0"/>
          <w:numId w:val="1"/>
        </w:numPr>
        <w:spacing w:before="40" w:after="40"/>
        <w:rPr/>
      </w:pPr>
      <w:r>
        <w:rPr>
          <w:rFonts w:eastAsia="Arial" w:cs="Arial" w:ascii="Arial" w:hAnsi="Arial"/>
          <w:b w:val="false"/>
          <w:bCs w:val="false"/>
          <w:sz w:val="20"/>
          <w:szCs w:val="20"/>
        </w:rPr>
        <w:t>Die Anwendung wird durch eine technische Dokumentation ergänzt, die als Grundlage für künftige Weiterentwicklungen dient.</w:t>
      </w:r>
    </w:p>
    <w:p>
      <w:pPr>
        <w:pStyle w:val="ListParagraph"/>
        <w:numPr>
          <w:ilvl w:val="0"/>
          <w:numId w:val="1"/>
        </w:numPr>
        <w:spacing w:before="40" w:after="40"/>
        <w:rPr/>
      </w:pPr>
      <w:r>
        <w:rPr>
          <w:rFonts w:eastAsia="Arial" w:cs="Arial" w:ascii="Arial" w:hAnsi="Arial"/>
          <w:b w:val="false"/>
          <w:bCs w:val="false"/>
          <w:sz w:val="20"/>
          <w:szCs w:val="20"/>
        </w:rPr>
        <w:t>Bei der Übergabe werden alle Funktionen der Anwendung mit dem Fachbereich durchgespielt und abgenommen.</w:t>
      </w:r>
    </w:p>
    <w:p>
      <w:pPr>
        <w:pStyle w:val="ListParagraph"/>
        <w:numPr>
          <w:ilvl w:val="0"/>
          <w:numId w:val="1"/>
        </w:numPr>
        <w:spacing w:before="40" w:after="40"/>
        <w:rPr/>
      </w:pPr>
      <w:r>
        <w:rPr>
          <w:rFonts w:eastAsia="Arial" w:cs="Arial" w:ascii="Arial" w:hAnsi="Arial"/>
          <w:b w:val="false"/>
          <w:bCs w:val="false"/>
          <w:sz w:val="20"/>
          <w:szCs w:val="20"/>
        </w:rPr>
        <w:t>Die vollständige Projektdokumentation wird im Rahmen der IHK-Abschlussprüfung eingereicht.</w:t>
      </w:r>
    </w:p>
    <w:p>
      <w:pPr>
        <w:pStyle w:val="Normal"/>
        <w:spacing w:before="60" w:after="60"/>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de-DE"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0"/>
      <w:szCs w:val="20"/>
      <w:lang w:val="de-DE"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FreeSans"/>
      <w:b/>
      <w:bCs/>
      <w:color w:val="auto"/>
      <w:kern w:val="0"/>
      <w:sz w:val="20"/>
      <w:szCs w:val="20"/>
      <w:lang w:val="de-DE" w:eastAsia="zh-CN" w:bidi="hi-IN"/>
    </w:rPr>
  </w:style>
  <w:style w:type="paragraph" w:styleId="ListParagraph">
    <w:name w:val="List Paragraph"/>
    <w:qFormat/>
    <w:pPr>
      <w:widowControl/>
      <w:bidi w:val="0"/>
      <w:spacing w:before="0" w:after="0"/>
      <w:jc w:val="start"/>
    </w:pPr>
    <w:rPr>
      <w:rFonts w:ascii="Times New Roman" w:hAnsi="Times New Roman" w:eastAsia="Noto Serif CJK SC" w:cs="FreeSans"/>
      <w:color w:val="auto"/>
      <w:kern w:val="0"/>
      <w:sz w:val="20"/>
      <w:szCs w:val="20"/>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LibreOffice/26.2.3.2$Linux_X86_64 LibreOffice_project/620$Build-2</Application>
  <AppVersion>15.0000</AppVersion>
  <Pages>4</Pages>
  <Words>1015</Words>
  <Characters>7350</Characters>
  <CharactersWithSpaces>8184</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2026-05-04T21:22:00Z</dcterms:created>
  <dc:creator>Un-named</dc:creator>
  <dc:description/>
  <dc:language>de-DE</dc:language>
  <cp:lastModifiedBy/>
  <dcterms:modified xsi:type="dcterms:W3CDTF">2026-05-04T23:39:43Z</dcterms:modified>
  <cp:revision>3</cp:revision>
  <dc:subject/>
  <dc:title/>
</cp:coreProperties>
</file>