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AERODYNAMIC PERFORMANCE</w:t>
      </w:r>
    </w:p>
    <w:p>
      <w:pPr>
        <w:pStyle w:val="Title"/>
      </w:pPr>
      <w:r>
        <w:t xml:space="preserve">AND SENSITIVITY MAPPING</w:t>
      </w:r>
    </w:p>
    <w:p>
      <w:pPr>
        <w:pStyle w:val="Subtitle"/>
      </w:pPr>
      <w:r>
        <w:t xml:space="preserve">FOR A FORMULA STUDENT CAR</w:t>
      </w:r>
    </w:p>
    <w:p>
      <w:pPr/>
      <w:r>
        <w:t xml:space="preserve"/>
      </w:r>
    </w:p>
    <w:p>
      <w:pPr>
        <w:pStyle w:val="CoverText"/>
      </w:pPr>
      <w:r>
        <w:t xml:space="preserve">Working Project Report</w:t>
      </w:r>
    </w:p>
    <w:p>
      <w:pPr>
        <w:pStyle w:val="CoverText"/>
      </w:pPr>
      <w:r>
        <w:t xml:space="preserve">Strohm und Söhne e.V. Noris Racing</w:t>
      </w:r>
    </w:p>
    <w:p>
      <w:pPr>
        <w:pStyle w:val="CoverText"/>
      </w:pPr>
      <w:r>
        <w:t xml:space="preserve">Technische Hochschule Nürnberg Georg Simon Ohm</w:t>
      </w:r>
    </w:p>
    <w:p>
      <w:pPr>
        <w:pStyle w:val="CoverText"/>
      </w:pPr>
      <w:r>
        <w:t xml:space="preserve">26 October 2026</w:t>
      </w:r>
    </w:p>
    <w:p>
      <w:pPr/>
      <w:r>
        <w:t xml:space="preserve"/>
      </w:r>
    </w:p>
    <w:p>
      <w:pPr>
        <w:pStyle w:val="CoverText"/>
      </w:pPr>
      <w:r>
        <w:t xml:space="preserve">Status: initial research and study planning</w:t>
      </w:r>
    </w:p>
    <w:p>
      <w:pPr>
        <w:pStyle w:val="CoverText"/>
      </w:pPr>
      <w:r>
        <w:t xml:space="preserve">This report documents agreed scope, literature context, and open decisions. It does not present completed CFD simulations or validated results for this car.</w:t>
      </w:r>
    </w:p>
    <w:p>
      <w:pPr>
        <w:pStyle w:val="Heading1"/>
        <w:pageBreakBefore/>
      </w:pPr>
      <w:r>
        <w:t xml:space="preserve">Document status</w:t>
      </w:r>
    </w:p>
    <w:p>
      <w:pPr/>
      <w:r>
        <w:t xml:space="preserve">Working report for Strohm und Söhne e.V. Noris Racing, Technische Hochschule Nürnberg Georg Simon Ohm. This scaffold records the introduction and initial literature findings; it is not a completed thesis or evidence of completed CFD. Use SPEC.md for decision status and handoffs for session history. Kunwar is a confirmed contributor. The other collaborator's name must be confirmed; "Advaith" is a placeholder, not a confirmed author attribution.</w:t>
      </w:r>
    </w:p>
    <w:p>
      <w:pPr>
        <w:pStyle w:val="Heading1"/>
      </w:pPr>
      <w:r>
        <w:t xml:space="preserve">1. Introduction and objectives</w:t>
      </w:r>
    </w:p>
    <w:p>
      <w:pPr/>
      <w:r>
        <w:t xml:space="preserve">The project aims to generate aerodynamic performance and sensitivity maps for an FSAE car from STAR-CCM+ results. Phase 1 varies only front and rear ride height in straight-line conditions to prove the data-to-map process and assess its efficiency. Python is intended for export automation and processing, CSV for data exchange, and MATLAB for maps. Cornering is a later extension.</w:t>
      </w:r>
    </w:p>
    <w:p>
      <w:pPr/>
      <w:r>
        <w:t xml:space="preserve">Simulation effort should remain low while providing enough evidence for conclusions. Neither a case count nor a validated numerical method has been selected.</w:t>
      </w:r>
    </w:p>
    <w:p>
      <w:pPr>
        <w:pStyle w:val="Heading1"/>
      </w:pPr>
      <w:r>
        <w:t xml:space="preserve">2. Background and literature</w:t>
      </w:r>
    </w:p>
    <w:p>
      <w:pPr/>
      <w:r>
        <w:t xml:space="preserve">The following findings come from relevant sections of the supplied theses, not from results for our car. Page references are PDF page numbers, not printed pages.</w:t>
      </w:r>
    </w:p>
    <w:tbl>
      <w:tblPr>
        <w:tblW w:w="9200" w:type="dxa"/>
        <w:tblBorders>
          <w:top w:val="single" w:sz="4" w:color="CBD5E1"/>
          <w:left w:val="single" w:sz="4" w:color="CBD5E1"/>
          <w:bottom w:val="single" w:sz="4" w:color="CBD5E1"/>
          <w:right w:val="single" w:sz="4" w:color="CBD5E1"/>
          <w:insideH w:val="single" w:sz="4" w:color="CBD5E1"/>
          <w:insideV w:val="single" w:sz="4" w:color="CBD5E1"/>
        </w:tblBorders>
        <w:tblLayout w:type="fixed"/>
      </w:tblPr>
      <w:tblGrid>
        <w:gridCol w:w="2200"/>
        <w:gridCol w:w="3600"/>
        <w:gridCol w:w="3400"/>
      </w:tblGrid>
      <w:tr>
        <w:trPr>
          <w:cantSplit/>
          <w:tblHeader/>
        </w:trPr>
        <w:tc>
          <w:tcPr>
            <w:tcW w:w="2200" w:type="dxa"/>
            <w:shd w:fill="E8EEF4"/>
          </w:tcPr>
          <w:p>
            <w:pPr>
              <w:pStyle w:val="TableHeader"/>
            </w:pPr>
            <w:r>
              <w:t xml:space="preserve">Source</w:t>
            </w:r>
          </w:p>
        </w:tc>
        <w:tc>
          <w:tcPr>
            <w:tcW w:w="3600" w:type="dxa"/>
            <w:shd w:fill="E8EEF4"/>
          </w:tcPr>
          <w:p>
            <w:pPr>
              <w:pStyle w:val="TableHeader"/>
            </w:pPr>
            <w:r>
              <w:t xml:space="preserve">Relevant finding</w:t>
            </w:r>
          </w:p>
        </w:tc>
        <w:tc>
          <w:tcPr>
            <w:tcW w:w="3400" w:type="dxa"/>
            <w:shd w:fill="E8EEF4"/>
          </w:tcPr>
          <w:p>
            <w:pPr>
              <w:pStyle w:val="TableHeader"/>
            </w:pPr>
            <w:r>
              <w:t xml:space="preserve">Limit on transfer to this project</w:t>
            </w:r>
          </w:p>
        </w:tc>
      </w:tr>
      <w:tr>
        <w:trPr>
          <w:cantSplit/>
        </w:trPr>
        <w:tc>
          <w:tcPr>
            <w:tcW w:w="2200" w:type="dxa"/>
          </w:tcPr>
          <w:p>
            <w:pPr>
              <w:pStyle w:val="TableText"/>
            </w:pPr>
            <w:r>
              <w:t xml:space="preserve">Hendy [1], pp. 4–5, 17</w:t>
            </w:r>
          </w:p>
        </w:tc>
        <w:tc>
          <w:tcPr>
            <w:tcW w:w="3600" w:type="dxa"/>
          </w:tcPr>
          <w:p>
            <w:pPr>
              <w:pStyle w:val="TableText"/>
            </w:pPr>
            <w:r>
              <w:t xml:space="preserve">Uses a 6 × 6 ride-height map with separate attitude variations; reports 47 simulations overall.</w:t>
            </w:r>
          </w:p>
        </w:tc>
        <w:tc>
          <w:tcPr>
            <w:tcW w:w="3400" w:type="dxa"/>
          </w:tcPr>
          <w:p>
            <w:pPr>
              <w:pStyle w:val="TableText"/>
            </w:pPr>
            <w:r>
              <w:t xml:space="preserve">Baseline roll, steer, and yaw are nonzero. This is not a straight-line setup to copy.</w:t>
            </w:r>
          </w:p>
        </w:tc>
      </w:tr>
      <w:tr>
        <w:trPr>
          <w:cantSplit/>
        </w:trPr>
        <w:tc>
          <w:tcPr>
            <w:tcW w:w="2200" w:type="dxa"/>
          </w:tcPr>
          <w:p>
            <w:pPr>
              <w:pStyle w:val="TableText"/>
            </w:pPr>
            <w:r>
              <w:t xml:space="preserve">Hendy [1], pp. 13–15</w:t>
            </w:r>
          </w:p>
        </w:tc>
        <w:tc>
          <w:tcPr>
            <w:tcW w:w="3600" w:type="dxa"/>
          </w:tcPr>
          <w:p>
            <w:pPr>
              <w:pStyle w:val="TableText"/>
            </w:pPr>
            <w:r>
              <w:t xml:space="preserve">Python organizes Fluent cases and collects case information and results into CSV for subsequent use including MATLAB.</w:t>
            </w:r>
          </w:p>
        </w:tc>
        <w:tc>
          <w:tcPr>
            <w:tcW w:w="3400" w:type="dxa"/>
          </w:tcPr>
          <w:p>
            <w:pPr>
              <w:pStyle w:val="TableText"/>
            </w:pPr>
            <w:r>
              <w:t xml:space="preserve">This does not establish a STAR-CCM+ automation mechanism.</w:t>
            </w:r>
          </w:p>
        </w:tc>
      </w:tr>
      <w:tr>
        <w:trPr>
          <w:cantSplit/>
        </w:trPr>
        <w:tc>
          <w:tcPr>
            <w:tcW w:w="2200" w:type="dxa"/>
          </w:tcPr>
          <w:p>
            <w:pPr>
              <w:pStyle w:val="TableText"/>
            </w:pPr>
            <w:r>
              <w:t xml:space="preserve">Carreira [2], pp. 67–68</w:t>
            </w:r>
          </w:p>
        </w:tc>
        <w:tc>
          <w:tcPr>
            <w:tcW w:w="3600" w:type="dxa"/>
          </w:tcPr>
          <w:p>
            <w:pPr>
              <w:pStyle w:val="TableText"/>
            </w:pPr>
            <w:r>
              <w:t xml:space="preserve">Studies front/rear ride heights together in 35 symmetric cases; explains that changing one height changes pitch and diffuser orientation.</w:t>
            </w:r>
          </w:p>
        </w:tc>
        <w:tc>
          <w:tcPr>
            <w:tcW w:w="3400" w:type="dxa"/>
          </w:tcPr>
          <w:p>
            <w:pPr>
              <w:pStyle w:val="TableText"/>
            </w:pPr>
            <w:r>
              <w:t xml:space="preserve">Its values and count do not establish adequate coverage for our car.</w:t>
            </w:r>
          </w:p>
        </w:tc>
      </w:tr>
      <w:tr>
        <w:trPr>
          <w:cantSplit/>
        </w:trPr>
        <w:tc>
          <w:tcPr>
            <w:tcW w:w="2200" w:type="dxa"/>
          </w:tcPr>
          <w:p>
            <w:pPr>
              <w:pStyle w:val="TableText"/>
            </w:pPr>
            <w:r>
              <w:t xml:space="preserve">Carreira [2], pp. 77–80</w:t>
            </w:r>
          </w:p>
        </w:tc>
        <w:tc>
          <w:tcPr>
            <w:tcW w:w="3600" w:type="dxa"/>
          </w:tcPr>
          <w:p>
            <w:pPr>
              <w:pStyle w:val="TableText"/>
            </w:pPr>
            <w:r>
              <w:t xml:space="preserve">Adds 50 Latin hypercube samples for a broader five-variable model; compares polynomial models using leave-one-out cross-validation. Second order has the lowest reported error among tested orders.</w:t>
            </w:r>
          </w:p>
        </w:tc>
        <w:tc>
          <w:tcPr>
            <w:tcW w:w="3400" w:type="dxa"/>
          </w:tcPr>
          <w:p>
            <w:pPr>
              <w:pStyle w:val="TableText"/>
            </w:pPr>
            <w:r>
              <w:t xml:space="preserve">A quadratic model is not thereby validated for our project.</w:t>
            </w:r>
          </w:p>
        </w:tc>
      </w:tr>
      <w:tr>
        <w:trPr>
          <w:cantSplit/>
        </w:trPr>
        <w:tc>
          <w:tcPr>
            <w:tcW w:w="2200" w:type="dxa"/>
          </w:tcPr>
          <w:p>
            <w:pPr>
              <w:pStyle w:val="TableText"/>
            </w:pPr>
            <w:r>
              <w:t xml:space="preserve">Carreira [2], p. 65</w:t>
            </w:r>
          </w:p>
        </w:tc>
        <w:tc>
          <w:tcPr>
            <w:tcW w:w="3600" w:type="dxa"/>
          </w:tcPr>
          <w:p>
            <w:pPr>
              <w:pStyle w:val="TableText"/>
            </w:pPr>
            <w:r>
              <w:t xml:space="preserve">Uses Java macros in STAR-CCM+ 2020.3 and exports CSV.</w:t>
            </w:r>
          </w:p>
        </w:tc>
        <w:tc>
          <w:tcPr>
            <w:tcW w:w="3400" w:type="dxa"/>
          </w:tcPr>
          <w:p>
            <w:pPr>
              <w:pStyle w:val="TableText"/>
            </w:pPr>
            <w:r>
              <w:t xml:space="preserve">Our version and supported automation still require inspection.</w:t>
            </w:r>
          </w:p>
        </w:tc>
      </w:tr>
    </w:tbl>
    <w:p>
      <w:pPr/>
      <w:r>
        <w:t xml:space="preserve">Cross-validation checks predictions against observations omitted when fitting a model. A surrogate is an approximation of CFD responses. These concepts are research context, not selected implementation methods. Model agreement with CFD also does not establish that CFD agrees with the physical car.</w:t>
      </w:r>
    </w:p>
    <w:p>
      <w:pPr/>
      <w:r>
        <w:t xml:space="preserve">To be documented: the theory needed for our chosen outputs, conventions, ride-height definitions, interactions, and sensitivity interpretation.</w:t>
      </w:r>
    </w:p>
    <w:p>
      <w:pPr>
        <w:pStyle w:val="Heading1"/>
      </w:pPr>
      <w:r>
        <w:t xml:space="preserve">3. CAD preparation and constraints</w:t>
      </w:r>
    </w:p>
    <w:p>
      <w:pPr/>
      <w:r>
        <w:t xml:space="preserve">To be documented: source geometry and revision, component selection, simplifications, reference points, constraints, and ride-height adjustment method. Manual changes and separate STEP exports are the proposed approach, not completed work.</w:t>
      </w:r>
    </w:p>
    <w:p>
      <w:pPr/>
      <w:r>
        <w:t xml:space="preserve">Questions when this work is reached: Which geometry was simplified and why? How were constraints chosen? How are the intended heights checked after export/import? Who made each decision, and what evidence or practical limitation supported it?</w:t>
      </w:r>
    </w:p>
    <w:p>
      <w:pPr>
        <w:pStyle w:val="Heading1"/>
      </w:pPr>
      <w:r>
        <w:t xml:space="preserve">4. CFD methodology</w:t>
      </w:r>
    </w:p>
    <w:p>
      <w:pPr/>
      <w:r>
        <w:t xml:space="preserve">To be documented after inspecting the existing template: software version, geometry import, domain, physics, boundary conditions, mesh, convergence, reported outputs, and simulation-driving versus reference-only parameters. Do not infer the configuration from either thesis.</w:t>
      </w:r>
    </w:p>
    <w:p>
      <w:pPr>
        <w:pStyle w:val="Heading1"/>
      </w:pPr>
      <w:r>
        <w:t xml:space="preserve">5. Study design and simulation selection</w:t>
      </w:r>
    </w:p>
    <w:p>
      <w:pPr/>
      <w:r>
        <w:t xml:space="preserve">Agreed: front and rear ride height are the only varied Phase 1 inputs. Proposed without justification: 3 × 3 (9 combinations) or 5 × 5 (25 combinations), excluding extra validation or repeat simulations. No option or actual values are selected.</w:t>
      </w:r>
    </w:p>
    <w:p>
      <w:pPr/>
      <w:r>
        <w:t xml:space="preserve">To be documented: feasible ranges, fixed operating conditions, sampling rationale, validation evidence, and justification for the selected total effort. Ask what evidence supports the chosen number and distribution of cases; do not retroactively invent a justification from the completed simulation count.</w:t>
      </w:r>
    </w:p>
    <w:p>
      <w:pPr>
        <w:pStyle w:val="Heading1"/>
      </w:pPr>
      <w:r>
        <w:t xml:space="preserve">6. Export, data processing, and MATLAB</w:t>
      </w:r>
    </w:p>
    <w:p>
      <w:pPr/>
      <w:r>
        <w:t xml:space="preserve">To be documented: confirmed automation mechanism, case identification and units, CSV format, geometry-to-metadata checks, processing steps, mapping and sensitivity methods, and reproducible execution instructions. Companion CSV metadata is an assistant proposal, not an agreed interface. No code or run commands are established.</w:t>
      </w:r>
    </w:p>
    <w:p>
      <w:pPr>
        <w:pStyle w:val="Heading1"/>
      </w:pPr>
      <w:r>
        <w:t xml:space="preserve">7. Results, validation, and limitations</w:t>
      </w:r>
    </w:p>
    <w:p>
      <w:pPr/>
      <w:r>
        <w:t xml:space="preserve">To be documented when results exist: CFD quality evidence, processing checks, map prediction errors, sensitivity checks, uncertainty, coverage, and physical validation where available. Separate simulated points from fitted/interpolated predictions and identify unsupported regions. No project results are claimed here.</w:t>
      </w:r>
    </w:p>
    <w:p>
      <w:pPr>
        <w:pStyle w:val="Heading1"/>
      </w:pPr>
      <w:r>
        <w:t xml:space="preserve">8. Conclusions and future work</w:t>
      </w:r>
    </w:p>
    <w:p>
      <w:pPr/>
      <w:r>
        <w:t xml:space="preserve">To be documented from evidence. Cornering is a later scope extension; detailed optimization and extensive automation are not Phase 1 requirements.</w:t>
      </w:r>
    </w:p>
    <w:p>
      <w:pPr>
        <w:pStyle w:val="Heading1"/>
      </w:pPr>
      <w:r>
        <w:t xml:space="preserve">9. Decision evidence and contributor record</w:t>
      </w:r>
    </w:p>
    <w:p>
      <w:pPr/>
      <w:r>
        <w:t xml:space="preserve">For each substantive decision, record the question, contributor, date, status (proposed/agreed/validated), alternatives considered, rationale, evidence/source, and limitations. Capture research performed independently of coding assistants. Ask one topic at a time; leave unknown answers "To be documented".</w:t>
      </w:r>
    </w:p>
    <w:p>
      <w:pPr>
        <w:pStyle w:val="Heading1"/>
      </w:pPr>
      <w:r>
        <w:t xml:space="preserve">References</w:t>
      </w:r>
    </w:p>
    <w:p>
      <w:pPr/>
      <w:r>
        <w:t xml:space="preserve">1. Paul Hendy (2019), *Aero Map for Formula Student*, supplied final-year report. Local file: docs/pdfs/MMS+Final+Year+Thesis+Collection+-+Aero+Map+for+Formula+Student+(Paul+Hendy+-+2019).pdf.</w:t>
      </w:r>
    </w:p>
    <w:p>
      <w:pPr/>
      <w:r>
        <w:t xml:space="preserve">2. Miguel Marques Carreira (2022), *Aerodynamic Mapping of a Formula Student Prototype using Numerical Simulations and On-track Validation*, master's thesis. Local file: docs/pdfs/Thesis_MiguelCarreira_181564.pdf.</w:t>
      </w:r>
    </w:p>
    <w:p>
      <w:pPr/>
      <w:r>
        <w:t xml:space="preserve">The PDFs are local research material and are not included in this documentation commit. A fresh checkout may not contain them; arrange access with the collaborators.</w:t>
      </w:r>
    </w:p>
    <w:sectPr>
      <w:footerReference w:type="default" r:id="rId2"/>
      <w:pgSz w:w="11906" w:h="16838"/>
      <w:pgMar w:top="1440" w:right="1353" w:bottom="1440" w:left="1353" w:header="720" w:footer="720"/>
      <w:titlePg/>
    </w:sectPr>
  </w:body>
</w:document>
</file>

<file path=word/footer1.xml><?xml version="1.0" encoding="utf-8"?>
<w:ftr xmlns:w="http://schemas.openxmlformats.org/wordprocessingml/2006/main">
  <w:p>
    <w:pPr>
      <w:jc w:val="center"/>
    </w:pPr>
    <w:r>
      <w:rPr>
        <w:sz w:val="18"/>
      </w:rPr>
      <w:t>Working project report · </w:t>
    </w:r>
    <w:fldSimple w:instr="PAGE">
      <w:r>
        <w:t>1</w:t>
      </w:r>
    </w:fldSimple>
  </w:p>
</w:ftr>
</file>

<file path=word/styles.xml><?xml version="1.0" encoding="utf-8"?>
<w:styles xmlns:w="http://schemas.openxmlformats.org/wordprocessingml/2006/main">
  <w:docDefaults>
    <w:rPrDefault>
      <w:rPr>
        <w:rFonts w:ascii="Times New Roman" w:hAnsi="Times New Roman"/>
        <w:sz w:val="24"/>
        <w:lang w:val="en-GB"/>
      </w:rPr>
    </w:rPrDefault>
    <w:pPrDefault>
      <w:pPr>
        <w:spacing w:after="140" w:line="300" w:lineRule="auto"/>
        <w:widowControl/>
      </w:pPr>
    </w:pPrDefault>
  </w:docDefaults>
  <w:style w:type="paragraph" w:default="1" w:styleId="Normal">
    <w:name w:val="Normal"/>
  </w:style>
  <w:style w:type="paragraph" w:styleId="Heading1">
    <w:name w:val="heading 1"/>
    <w:basedOn w:val="Normal"/>
    <w:next w:val="Normal"/>
    <w:pPr>
      <w:keepNext/>
      <w:spacing w:before="300" w:after="140"/>
      <w:outlineLvl w:val="0"/>
    </w:pPr>
    <w:rPr>
      <w:b/>
      <w:color w:val="203850"/>
      <w:sz w:val="30"/>
    </w:rPr>
  </w:style>
  <w:style w:type="paragraph" w:styleId="Title">
    <w:name w:val="Title"/>
    <w:basedOn w:val="Normal"/>
    <w:pPr>
      <w:jc w:val="center"/>
      <w:spacing w:after="160"/>
    </w:pPr>
    <w:rPr>
      <w:sz w:val="42"/>
      <w:b/>
    </w:rPr>
  </w:style>
  <w:style w:type="paragraph" w:styleId="Subtitle">
    <w:name w:val="Subtitle"/>
    <w:basedOn w:val="Normal"/>
    <w:pPr>
      <w:jc w:val="center"/>
      <w:spacing w:after="160"/>
    </w:pPr>
    <w:rPr>
      <w:sz w:val="28"/>
    </w:rPr>
  </w:style>
  <w:style w:type="paragraph" w:styleId="CoverText">
    <w:name w:val="CoverText"/>
    <w:basedOn w:val="Normal"/>
    <w:pPr>
      <w:jc w:val="center"/>
      <w:spacing w:after="160"/>
    </w:pPr>
    <w:rPr>
      <w:sz w:val="24"/>
    </w:rPr>
  </w:style>
  <w:style w:type="paragraph" w:styleId="TableText">
    <w:name w:val="TableText"/>
    <w:basedOn w:val="Normal"/>
    <w:pPr>
      <w:spacing w:after="160"/>
    </w:pPr>
    <w:rPr>
      <w:sz w:val="20"/>
    </w:rPr>
  </w:style>
  <w:style w:type="paragraph" w:styleId="TableHeader">
    <w:name w:val="TableHeader"/>
    <w:basedOn w:val="Normal"/>
    <w:pPr>
      <w:spacing w:after="160"/>
    </w:pPr>
    <w:rPr>
      <w:sz w:val="20"/>
      <w:b/>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