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F07C" w14:textId="78D064FE" w:rsidR="00DD60B9" w:rsidRDefault="00000000">
      <w:pPr>
        <w:spacing w:line="259" w:lineRule="auto"/>
        <w:jc w:val="center"/>
      </w:pPr>
      <w:r>
        <w:t xml:space="preserve">Analysis Tutorial </w:t>
      </w:r>
      <w:r w:rsidR="003A1BA3">
        <w:t>Overview</w:t>
      </w:r>
    </w:p>
    <w:p w14:paraId="4D9B8FC0" w14:textId="29D4EF5F" w:rsidR="00DD60B9" w:rsidRDefault="00D655AF">
      <w:pPr>
        <w:spacing w:line="259" w:lineRule="auto"/>
        <w:jc w:val="center"/>
      </w:pPr>
      <w:r>
        <w:t xml:space="preserve">Kunyu Yang </w:t>
      </w:r>
    </w:p>
    <w:p w14:paraId="63E69642" w14:textId="77777777" w:rsidR="00DD60B9" w:rsidRDefault="00000000">
      <w:pPr>
        <w:spacing w:line="259" w:lineRule="auto"/>
        <w:ind w:left="0" w:firstLine="0"/>
      </w:pPr>
      <w:r>
        <w:t xml:space="preserve"> </w:t>
      </w:r>
    </w:p>
    <w:p w14:paraId="201F5631" w14:textId="695AD809" w:rsidR="00DD60B9" w:rsidRPr="00031C43" w:rsidRDefault="008B7D6A">
      <w:pPr>
        <w:numPr>
          <w:ilvl w:val="0"/>
          <w:numId w:val="1"/>
        </w:numPr>
        <w:ind w:hanging="240"/>
        <w:rPr>
          <w:b/>
          <w:bCs/>
        </w:rPr>
      </w:pPr>
      <w:r w:rsidRPr="00031C43">
        <w:rPr>
          <w:b/>
          <w:bCs/>
        </w:rPr>
        <w:t xml:space="preserve">Modified Title  </w:t>
      </w:r>
    </w:p>
    <w:p w14:paraId="74446A7B" w14:textId="046F9791" w:rsidR="00DD60B9" w:rsidRDefault="003A1BA3">
      <w:pPr>
        <w:spacing w:line="259" w:lineRule="auto"/>
        <w:ind w:left="0" w:firstLine="0"/>
      </w:pPr>
      <w:r>
        <w:t>Visualizing and significance testing on biomass-reduction</w:t>
      </w:r>
      <w:r w:rsidR="00D655AF">
        <w:t xml:space="preserve"> effect</w:t>
      </w:r>
      <w:r>
        <w:t>s</w:t>
      </w:r>
      <w:r w:rsidR="00D655AF">
        <w:t xml:space="preserve"> </w:t>
      </w:r>
      <w:r>
        <w:t>of</w:t>
      </w:r>
      <w:r w:rsidR="00D655AF">
        <w:t xml:space="preserve"> Cyanobacteria Microcystis (MC) by Amoeba Vanella’s grazing behavior</w:t>
      </w:r>
      <w:r w:rsidR="00B90722">
        <w:t xml:space="preserve"> </w:t>
      </w:r>
    </w:p>
    <w:p w14:paraId="61A7DBDE" w14:textId="77777777" w:rsidR="00D655AF" w:rsidRDefault="00D655AF">
      <w:pPr>
        <w:spacing w:line="259" w:lineRule="auto"/>
        <w:ind w:left="0" w:firstLine="0"/>
      </w:pPr>
    </w:p>
    <w:p w14:paraId="7FB5F621" w14:textId="5AC8F3D3" w:rsidR="00DD60B9" w:rsidRPr="00031C43" w:rsidRDefault="008B7D6A">
      <w:pPr>
        <w:numPr>
          <w:ilvl w:val="0"/>
          <w:numId w:val="1"/>
        </w:numPr>
        <w:ind w:hanging="240"/>
        <w:rPr>
          <w:b/>
          <w:bCs/>
        </w:rPr>
      </w:pPr>
      <w:r w:rsidRPr="00031C43">
        <w:rPr>
          <w:b/>
          <w:bCs/>
        </w:rPr>
        <w:t xml:space="preserve">Modified Research question </w:t>
      </w:r>
    </w:p>
    <w:p w14:paraId="3E271A66" w14:textId="183614A9" w:rsidR="00DD60B9" w:rsidRDefault="003A1BA3">
      <w:pPr>
        <w:spacing w:line="259" w:lineRule="auto"/>
        <w:ind w:left="0" w:firstLine="0"/>
      </w:pPr>
      <w:r>
        <w:t>A general grazing effect by freshwater Amoeba had been verified by previous studies</w:t>
      </w:r>
      <w:r w:rsidR="00793E3D">
        <w:t xml:space="preserve"> </w:t>
      </w:r>
      <w:r w:rsidR="00793E3D" w:rsidRPr="004A0C22">
        <w:rPr>
          <w:rFonts w:eastAsiaTheme="majorEastAsia"/>
          <w:color w:val="2D3B45"/>
        </w:rPr>
        <w:t xml:space="preserve">(Van </w:t>
      </w:r>
      <w:proofErr w:type="spellStart"/>
      <w:r w:rsidR="00793E3D" w:rsidRPr="004A0C22">
        <w:rPr>
          <w:rFonts w:eastAsiaTheme="majorEastAsia"/>
          <w:color w:val="2D3B45"/>
        </w:rPr>
        <w:t>Wichelen</w:t>
      </w:r>
      <w:proofErr w:type="spellEnd"/>
      <w:r w:rsidR="00793E3D" w:rsidRPr="004A0C22">
        <w:rPr>
          <w:rFonts w:eastAsiaTheme="majorEastAsia"/>
          <w:color w:val="2D3B45"/>
        </w:rPr>
        <w:t xml:space="preserve"> et al., 2010)</w:t>
      </w:r>
      <w:r>
        <w:t xml:space="preserve">, is this biomass-reductive effect determined by the Amoeba density? </w:t>
      </w:r>
    </w:p>
    <w:p w14:paraId="67D6773B" w14:textId="77777777" w:rsidR="003A1BA3" w:rsidRDefault="003A1BA3">
      <w:pPr>
        <w:spacing w:line="259" w:lineRule="auto"/>
        <w:ind w:left="0" w:firstLine="0"/>
      </w:pPr>
    </w:p>
    <w:p w14:paraId="7D2C7FFD" w14:textId="6C7F060C" w:rsidR="00DD60B9" w:rsidRPr="00031C43" w:rsidRDefault="008B7D6A">
      <w:pPr>
        <w:numPr>
          <w:ilvl w:val="0"/>
          <w:numId w:val="1"/>
        </w:numPr>
        <w:ind w:hanging="240"/>
        <w:rPr>
          <w:b/>
          <w:bCs/>
        </w:rPr>
      </w:pPr>
      <w:r w:rsidRPr="00031C43">
        <w:rPr>
          <w:b/>
          <w:bCs/>
        </w:rPr>
        <w:t>Modified Objective</w:t>
      </w:r>
    </w:p>
    <w:p w14:paraId="2F3701F3" w14:textId="7CC6E745" w:rsidR="00DD60B9" w:rsidRDefault="00D655AF">
      <w:pPr>
        <w:ind w:left="-5"/>
      </w:pPr>
      <w:r>
        <w:t>Visualizing the MC growth curve by measuring pigments</w:t>
      </w:r>
      <w:r w:rsidR="003A1BA3">
        <w:t xml:space="preserve"> in 2 days’ interval</w:t>
      </w:r>
      <w:r>
        <w:t xml:space="preserve">, the </w:t>
      </w:r>
      <w:r w:rsidR="003A1BA3">
        <w:t>biomass-reductive</w:t>
      </w:r>
      <w:r>
        <w:t xml:space="preserve"> effect is defined as the gaps between test group lines and control group lines</w:t>
      </w:r>
      <w:r w:rsidR="00793E3D">
        <w:t xml:space="preserve"> </w:t>
      </w:r>
      <w:r w:rsidR="00793E3D" w:rsidRPr="00DC0874">
        <w:rPr>
          <w:rFonts w:eastAsiaTheme="majorEastAsia"/>
          <w:color w:val="2D3B45"/>
        </w:rPr>
        <w:t>(Weger et al., 2024)</w:t>
      </w:r>
      <w:r>
        <w:t xml:space="preserve">. </w:t>
      </w:r>
      <w:r w:rsidR="003A1BA3">
        <w:t>Applying statistical analyses to test the significant difference between</w:t>
      </w:r>
      <w:r w:rsidR="000626EC">
        <w:t xml:space="preserve"> the treatments of 4 Amoeba density settings (0, 1X, 5X, 10X)</w:t>
      </w:r>
      <w:r w:rsidR="00793E3D">
        <w:t xml:space="preserve"> </w:t>
      </w:r>
      <w:r w:rsidR="00793E3D" w:rsidRPr="0034287B">
        <w:rPr>
          <w:rFonts w:eastAsiaTheme="majorEastAsia"/>
          <w:color w:val="2D3B45"/>
        </w:rPr>
        <w:t>(Xinyao et al., 2006)</w:t>
      </w:r>
      <w:r w:rsidR="00793E3D">
        <w:rPr>
          <w:rFonts w:eastAsiaTheme="majorEastAsia"/>
          <w:color w:val="2D3B45"/>
        </w:rPr>
        <w:t>.</w:t>
      </w:r>
    </w:p>
    <w:p w14:paraId="6C529679" w14:textId="77777777" w:rsidR="00DD60B9" w:rsidRDefault="00000000">
      <w:pPr>
        <w:spacing w:line="259" w:lineRule="auto"/>
        <w:ind w:left="0" w:firstLine="0"/>
      </w:pPr>
      <w:r>
        <w:t xml:space="preserve"> </w:t>
      </w:r>
    </w:p>
    <w:p w14:paraId="37639FEF" w14:textId="09F5B069" w:rsidR="00DD60B9" w:rsidRPr="00031C43" w:rsidRDefault="008B7D6A">
      <w:pPr>
        <w:numPr>
          <w:ilvl w:val="0"/>
          <w:numId w:val="2"/>
        </w:numPr>
        <w:ind w:hanging="240"/>
        <w:rPr>
          <w:b/>
          <w:bCs/>
        </w:rPr>
      </w:pPr>
      <w:r w:rsidRPr="00031C43">
        <w:rPr>
          <w:b/>
          <w:bCs/>
        </w:rPr>
        <w:t xml:space="preserve">Overview  </w:t>
      </w:r>
    </w:p>
    <w:p w14:paraId="6AF9F5C4" w14:textId="3ABE8966" w:rsidR="00960169" w:rsidRDefault="000626EC" w:rsidP="008B7D6A">
      <w:pPr>
        <w:ind w:left="0" w:firstLine="0"/>
        <w:rPr>
          <w:color w:val="auto"/>
          <w:kern w:val="0"/>
          <w:lang w:val="en-US" w:eastAsia="zh-CN"/>
          <w14:ligatures w14:val="none"/>
        </w:rPr>
      </w:pPr>
      <w:r>
        <w:t>2 previously tested “poor” food source MC strains are included (</w:t>
      </w:r>
      <w:r w:rsidRPr="00C4771B">
        <w:rPr>
          <w:color w:val="auto"/>
          <w:kern w:val="0"/>
          <w:lang w:val="en-US" w:eastAsia="zh-CN"/>
          <w14:ligatures w14:val="none"/>
        </w:rPr>
        <w:t>LE21 22.1 ISO2 MC-,</w:t>
      </w:r>
      <w:r>
        <w:rPr>
          <w:color w:val="auto"/>
          <w:kern w:val="0"/>
          <w:lang w:val="en-US" w:eastAsia="zh-CN"/>
          <w14:ligatures w14:val="none"/>
        </w:rPr>
        <w:t xml:space="preserve"> </w:t>
      </w:r>
      <w:r w:rsidRPr="00C4771B">
        <w:rPr>
          <w:color w:val="auto"/>
          <w:kern w:val="0"/>
          <w:lang w:val="en-US" w:eastAsia="zh-CN"/>
          <w14:ligatures w14:val="none"/>
        </w:rPr>
        <w:t>LE21 52.2 ISO3 MC+</w:t>
      </w:r>
      <w:r>
        <w:rPr>
          <w:color w:val="auto"/>
          <w:kern w:val="0"/>
          <w:lang w:val="en-US" w:eastAsia="zh-CN"/>
          <w14:ligatures w14:val="none"/>
        </w:rPr>
        <w:t xml:space="preserve">). The Amoeba Vannella </w:t>
      </w:r>
      <w:r w:rsidRPr="00C4771B">
        <w:rPr>
          <w:color w:val="auto"/>
          <w:kern w:val="0"/>
          <w:lang w:val="en-US" w:eastAsia="zh-CN"/>
          <w14:ligatures w14:val="none"/>
        </w:rPr>
        <w:t>A22.3-1, 1/7/25</w:t>
      </w:r>
      <w:r>
        <w:rPr>
          <w:color w:val="auto"/>
          <w:kern w:val="0"/>
          <w:lang w:val="en-US" w:eastAsia="zh-CN"/>
          <w14:ligatures w14:val="none"/>
        </w:rPr>
        <w:t xml:space="preserve"> was separated to 1X original stock solution, 5X diluted, 10X diluted and standardized to 4 mL. 4 mL of each MC was incubated with each dilution of Amoeba and added up to 40 mL with 32 mL 1X BG-11 media (36 mL for control groups without Amoeba). </w:t>
      </w:r>
      <w:r w:rsidR="008B7D6A">
        <w:rPr>
          <w:color w:val="auto"/>
          <w:kern w:val="0"/>
          <w:lang w:val="en-US" w:eastAsia="zh-CN"/>
          <w14:ligatures w14:val="none"/>
        </w:rPr>
        <w:t xml:space="preserve">The workflow could be divided into 6 general steps after the data collection as: step 1) </w:t>
      </w:r>
      <w:r w:rsidR="00960169">
        <w:rPr>
          <w:color w:val="auto"/>
          <w:kern w:val="0"/>
          <w:lang w:val="en-US" w:eastAsia="zh-CN"/>
          <w14:ligatures w14:val="none"/>
        </w:rPr>
        <w:t>I</w:t>
      </w:r>
      <w:r w:rsidR="008B7D6A">
        <w:rPr>
          <w:color w:val="auto"/>
          <w:kern w:val="0"/>
          <w:lang w:val="en-US" w:eastAsia="zh-CN"/>
          <w14:ligatures w14:val="none"/>
        </w:rPr>
        <w:t>nstall/load necessary R packages</w:t>
      </w:r>
      <w:r w:rsidR="009C351D">
        <w:rPr>
          <w:color w:val="auto"/>
          <w:kern w:val="0"/>
          <w:lang w:val="en-US" w:eastAsia="zh-CN"/>
          <w14:ligatures w14:val="none"/>
        </w:rPr>
        <w:t xml:space="preserve"> (ggplot2, </w:t>
      </w:r>
      <w:proofErr w:type="spellStart"/>
      <w:r w:rsidR="009C351D">
        <w:rPr>
          <w:color w:val="auto"/>
          <w:kern w:val="0"/>
          <w:lang w:val="en-US" w:eastAsia="zh-CN"/>
          <w14:ligatures w14:val="none"/>
        </w:rPr>
        <w:t>readxl</w:t>
      </w:r>
      <w:proofErr w:type="spellEnd"/>
      <w:r w:rsidR="009C351D">
        <w:rPr>
          <w:color w:val="auto"/>
          <w:kern w:val="0"/>
          <w:lang w:val="en-US" w:eastAsia="zh-CN"/>
          <w14:ligatures w14:val="none"/>
        </w:rPr>
        <w:t xml:space="preserve">, </w:t>
      </w:r>
      <w:proofErr w:type="spellStart"/>
      <w:r w:rsidR="009C351D">
        <w:rPr>
          <w:color w:val="auto"/>
          <w:kern w:val="0"/>
          <w:lang w:val="en-US" w:eastAsia="zh-CN"/>
          <w14:ligatures w14:val="none"/>
        </w:rPr>
        <w:t>tidyverse</w:t>
      </w:r>
      <w:proofErr w:type="spellEnd"/>
      <w:r w:rsidR="009C351D">
        <w:rPr>
          <w:color w:val="auto"/>
          <w:kern w:val="0"/>
          <w:lang w:val="en-US" w:eastAsia="zh-CN"/>
          <w14:ligatures w14:val="none"/>
        </w:rPr>
        <w:t xml:space="preserve">, </w:t>
      </w:r>
      <w:proofErr w:type="spellStart"/>
      <w:r w:rsidR="009C351D">
        <w:rPr>
          <w:color w:val="auto"/>
          <w:kern w:val="0"/>
          <w:lang w:val="en-US" w:eastAsia="zh-CN"/>
          <w14:ligatures w14:val="none"/>
        </w:rPr>
        <w:t>ggthemes</w:t>
      </w:r>
      <w:proofErr w:type="spellEnd"/>
      <w:r w:rsidR="009C351D">
        <w:rPr>
          <w:color w:val="auto"/>
          <w:kern w:val="0"/>
          <w:lang w:val="en-US" w:eastAsia="zh-CN"/>
          <w14:ligatures w14:val="none"/>
        </w:rPr>
        <w:t xml:space="preserve">, scales, </w:t>
      </w:r>
      <w:proofErr w:type="spellStart"/>
      <w:r w:rsidR="009C351D">
        <w:rPr>
          <w:color w:val="auto"/>
          <w:kern w:val="0"/>
          <w:lang w:val="en-US" w:eastAsia="zh-CN"/>
          <w14:ligatures w14:val="none"/>
        </w:rPr>
        <w:t>dplyr</w:t>
      </w:r>
      <w:proofErr w:type="spellEnd"/>
      <w:r w:rsidR="009C351D">
        <w:rPr>
          <w:color w:val="auto"/>
          <w:kern w:val="0"/>
          <w:lang w:val="en-US" w:eastAsia="zh-CN"/>
          <w14:ligatures w14:val="none"/>
        </w:rPr>
        <w:t xml:space="preserve">, </w:t>
      </w:r>
      <w:proofErr w:type="spellStart"/>
      <w:r w:rsidR="009C351D">
        <w:rPr>
          <w:color w:val="auto"/>
          <w:kern w:val="0"/>
          <w:lang w:val="en-US" w:eastAsia="zh-CN"/>
          <w14:ligatures w14:val="none"/>
        </w:rPr>
        <w:t>writexl</w:t>
      </w:r>
      <w:proofErr w:type="spellEnd"/>
      <w:r w:rsidR="009C351D">
        <w:rPr>
          <w:color w:val="auto"/>
          <w:kern w:val="0"/>
          <w:lang w:val="en-US" w:eastAsia="zh-CN"/>
          <w14:ligatures w14:val="none"/>
        </w:rPr>
        <w:t xml:space="preserve">, </w:t>
      </w:r>
      <w:proofErr w:type="spellStart"/>
      <w:r w:rsidR="009C351D">
        <w:rPr>
          <w:color w:val="auto"/>
          <w:kern w:val="0"/>
          <w:lang w:val="en-US" w:eastAsia="zh-CN"/>
          <w14:ligatures w14:val="none"/>
        </w:rPr>
        <w:t>multicompView</w:t>
      </w:r>
      <w:proofErr w:type="spellEnd"/>
      <w:r w:rsidR="009C351D">
        <w:rPr>
          <w:color w:val="auto"/>
          <w:kern w:val="0"/>
          <w:lang w:val="en-US" w:eastAsia="zh-CN"/>
          <w14:ligatures w14:val="none"/>
        </w:rPr>
        <w:t>)</w:t>
      </w:r>
      <w:r w:rsidR="008B7D6A">
        <w:rPr>
          <w:color w:val="auto"/>
          <w:kern w:val="0"/>
          <w:lang w:val="en-US" w:eastAsia="zh-CN"/>
          <w14:ligatures w14:val="none"/>
        </w:rPr>
        <w:t xml:space="preserve">; 2) </w:t>
      </w:r>
      <w:r w:rsidR="00960169">
        <w:rPr>
          <w:color w:val="auto"/>
          <w:kern w:val="0"/>
          <w:lang w:val="en-US" w:eastAsia="zh-CN"/>
          <w14:ligatures w14:val="none"/>
        </w:rPr>
        <w:t>A</w:t>
      </w:r>
      <w:r w:rsidR="008B7D6A" w:rsidRPr="008B7D6A">
        <w:rPr>
          <w:color w:val="auto"/>
          <w:kern w:val="0"/>
          <w:lang w:val="en-US" w:eastAsia="zh-CN"/>
          <w14:ligatures w14:val="none"/>
        </w:rPr>
        <w:t>dd averages and standard deviations to raw data se</w:t>
      </w:r>
      <w:r w:rsidR="008B7D6A">
        <w:rPr>
          <w:color w:val="auto"/>
          <w:kern w:val="0"/>
          <w:lang w:val="en-US" w:eastAsia="zh-CN"/>
          <w14:ligatures w14:val="none"/>
        </w:rPr>
        <w:t>t</w:t>
      </w:r>
      <w:r w:rsidR="009C351D">
        <w:rPr>
          <w:color w:val="auto"/>
          <w:kern w:val="0"/>
          <w:lang w:val="en-US" w:eastAsia="zh-CN"/>
          <w14:ligatures w14:val="none"/>
        </w:rPr>
        <w:t xml:space="preserve"> mainly by </w:t>
      </w:r>
      <w:r w:rsidR="00031C43">
        <w:rPr>
          <w:color w:val="auto"/>
          <w:kern w:val="0"/>
          <w:lang w:val="en-US" w:eastAsia="zh-CN"/>
          <w14:ligatures w14:val="none"/>
        </w:rPr>
        <w:t>“</w:t>
      </w:r>
      <w:proofErr w:type="spellStart"/>
      <w:r w:rsidR="009C351D">
        <w:rPr>
          <w:color w:val="auto"/>
          <w:kern w:val="0"/>
          <w:lang w:val="en-US" w:eastAsia="zh-CN"/>
          <w14:ligatures w14:val="none"/>
        </w:rPr>
        <w:t>group_by</w:t>
      </w:r>
      <w:proofErr w:type="spellEnd"/>
      <w:r w:rsidR="009C351D">
        <w:rPr>
          <w:color w:val="auto"/>
          <w:kern w:val="0"/>
          <w:lang w:val="en-US" w:eastAsia="zh-CN"/>
          <w14:ligatures w14:val="none"/>
        </w:rPr>
        <w:t xml:space="preserve">() + mean() + </w:t>
      </w:r>
      <w:proofErr w:type="spellStart"/>
      <w:r w:rsidR="009C351D">
        <w:rPr>
          <w:color w:val="auto"/>
          <w:kern w:val="0"/>
          <w:lang w:val="en-US" w:eastAsia="zh-CN"/>
          <w14:ligatures w14:val="none"/>
        </w:rPr>
        <w:t>sd</w:t>
      </w:r>
      <w:proofErr w:type="spellEnd"/>
      <w:r w:rsidR="009C351D">
        <w:rPr>
          <w:color w:val="auto"/>
          <w:kern w:val="0"/>
          <w:lang w:val="en-US" w:eastAsia="zh-CN"/>
          <w14:ligatures w14:val="none"/>
        </w:rPr>
        <w:t>()</w:t>
      </w:r>
      <w:r w:rsidR="00031C43">
        <w:rPr>
          <w:color w:val="auto"/>
          <w:kern w:val="0"/>
          <w:lang w:val="en-US" w:eastAsia="zh-CN"/>
          <w14:ligatures w14:val="none"/>
        </w:rPr>
        <w:t>”</w:t>
      </w:r>
      <w:r w:rsidR="008B7D6A">
        <w:rPr>
          <w:color w:val="auto"/>
          <w:kern w:val="0"/>
          <w:lang w:val="en-US" w:eastAsia="zh-CN"/>
          <w14:ligatures w14:val="none"/>
        </w:rPr>
        <w:t>; 3</w:t>
      </w:r>
      <w:r w:rsidR="00960169">
        <w:rPr>
          <w:color w:val="auto"/>
          <w:kern w:val="0"/>
          <w:lang w:val="en-US" w:eastAsia="zh-CN"/>
          <w14:ligatures w14:val="none"/>
        </w:rPr>
        <w:t>) V</w:t>
      </w:r>
      <w:r w:rsidR="008B7D6A" w:rsidRPr="008B7D6A">
        <w:rPr>
          <w:color w:val="auto"/>
          <w:kern w:val="0"/>
          <w:lang w:val="en-US" w:eastAsia="zh-CN"/>
          <w14:ligatures w14:val="none"/>
        </w:rPr>
        <w:t xml:space="preserve">isualization </w:t>
      </w:r>
      <w:r w:rsidR="00960169">
        <w:rPr>
          <w:color w:val="auto"/>
          <w:kern w:val="0"/>
          <w:lang w:val="en-US" w:eastAsia="zh-CN"/>
          <w14:ligatures w14:val="none"/>
        </w:rPr>
        <w:t xml:space="preserve">of growth curve </w:t>
      </w:r>
      <w:r w:rsidR="008B7D6A" w:rsidRPr="008B7D6A">
        <w:rPr>
          <w:color w:val="auto"/>
          <w:kern w:val="0"/>
          <w:lang w:val="en-US" w:eastAsia="zh-CN"/>
          <w14:ligatures w14:val="none"/>
        </w:rPr>
        <w:t>with new data set</w:t>
      </w:r>
      <w:r w:rsidR="009C351D">
        <w:rPr>
          <w:color w:val="auto"/>
          <w:kern w:val="0"/>
          <w:lang w:val="en-US" w:eastAsia="zh-CN"/>
          <w14:ligatures w14:val="none"/>
        </w:rPr>
        <w:t xml:space="preserve"> mainly by </w:t>
      </w:r>
      <w:r w:rsidR="00031C43">
        <w:rPr>
          <w:color w:val="auto"/>
          <w:kern w:val="0"/>
          <w:lang w:val="en-US" w:eastAsia="zh-CN"/>
          <w14:ligatures w14:val="none"/>
        </w:rPr>
        <w:t>“</w:t>
      </w:r>
      <w:proofErr w:type="spellStart"/>
      <w:r w:rsidR="009C351D">
        <w:rPr>
          <w:color w:val="auto"/>
          <w:kern w:val="0"/>
          <w:lang w:val="en-US" w:eastAsia="zh-CN"/>
          <w14:ligatures w14:val="none"/>
        </w:rPr>
        <w:t>ggplot</w:t>
      </w:r>
      <w:proofErr w:type="spellEnd"/>
      <w:r w:rsidR="009C351D">
        <w:rPr>
          <w:color w:val="auto"/>
          <w:kern w:val="0"/>
          <w:lang w:val="en-US" w:eastAsia="zh-CN"/>
          <w14:ligatures w14:val="none"/>
        </w:rPr>
        <w:t xml:space="preserve">() + </w:t>
      </w:r>
      <w:proofErr w:type="spellStart"/>
      <w:r w:rsidR="009C351D">
        <w:rPr>
          <w:color w:val="auto"/>
          <w:kern w:val="0"/>
          <w:lang w:val="en-US" w:eastAsia="zh-CN"/>
          <w14:ligatures w14:val="none"/>
        </w:rPr>
        <w:t>facet_grid</w:t>
      </w:r>
      <w:proofErr w:type="spellEnd"/>
      <w:r w:rsidR="009C351D">
        <w:rPr>
          <w:color w:val="auto"/>
          <w:kern w:val="0"/>
          <w:lang w:val="en-US" w:eastAsia="zh-CN"/>
          <w14:ligatures w14:val="none"/>
        </w:rPr>
        <w:t xml:space="preserve">() + </w:t>
      </w:r>
      <w:proofErr w:type="spellStart"/>
      <w:r w:rsidR="009C351D">
        <w:rPr>
          <w:color w:val="auto"/>
          <w:kern w:val="0"/>
          <w:lang w:val="en-US" w:eastAsia="zh-CN"/>
          <w14:ligatures w14:val="none"/>
        </w:rPr>
        <w:t>geom_errorbar</w:t>
      </w:r>
      <w:proofErr w:type="spellEnd"/>
      <w:r w:rsidR="009C351D">
        <w:rPr>
          <w:color w:val="auto"/>
          <w:kern w:val="0"/>
          <w:lang w:val="en-US" w:eastAsia="zh-CN"/>
          <w14:ligatures w14:val="none"/>
        </w:rPr>
        <w:t>() + labs()</w:t>
      </w:r>
      <w:r w:rsidR="00031C43">
        <w:rPr>
          <w:color w:val="auto"/>
          <w:kern w:val="0"/>
          <w:lang w:val="en-US" w:eastAsia="zh-CN"/>
          <w14:ligatures w14:val="none"/>
        </w:rPr>
        <w:t>”</w:t>
      </w:r>
      <w:r w:rsidR="00960169">
        <w:rPr>
          <w:color w:val="auto"/>
          <w:kern w:val="0"/>
          <w:lang w:val="en-US" w:eastAsia="zh-CN"/>
          <w14:ligatures w14:val="none"/>
        </w:rPr>
        <w:t>; 4) Process One-way ANOVA</w:t>
      </w:r>
      <w:r w:rsidR="009C351D">
        <w:rPr>
          <w:color w:val="auto"/>
          <w:kern w:val="0"/>
          <w:lang w:val="en-US" w:eastAsia="zh-CN"/>
          <w14:ligatures w14:val="none"/>
        </w:rPr>
        <w:t xml:space="preserve"> </w:t>
      </w:r>
      <w:r w:rsidR="00031C43">
        <w:rPr>
          <w:color w:val="auto"/>
          <w:kern w:val="0"/>
          <w:lang w:val="en-US" w:eastAsia="zh-CN"/>
          <w14:ligatures w14:val="none"/>
        </w:rPr>
        <w:t>mainly by “</w:t>
      </w:r>
      <w:proofErr w:type="spellStart"/>
      <w:r w:rsidR="00031C43" w:rsidRPr="00031C43">
        <w:rPr>
          <w:color w:val="auto"/>
          <w:kern w:val="0"/>
          <w:lang w:val="en-US" w:eastAsia="zh-CN"/>
          <w14:ligatures w14:val="none"/>
        </w:rPr>
        <w:t>aov_model</w:t>
      </w:r>
      <w:proofErr w:type="spellEnd"/>
      <w:r w:rsidR="00031C43" w:rsidRPr="00031C43">
        <w:rPr>
          <w:color w:val="auto"/>
          <w:kern w:val="0"/>
          <w:lang w:val="en-US" w:eastAsia="zh-CN"/>
          <w14:ligatures w14:val="none"/>
        </w:rPr>
        <w:t xml:space="preserve"> &lt;- </w:t>
      </w:r>
      <w:proofErr w:type="spellStart"/>
      <w:r w:rsidR="00031C43" w:rsidRPr="00031C43">
        <w:rPr>
          <w:color w:val="auto"/>
          <w:kern w:val="0"/>
          <w:lang w:val="en-US" w:eastAsia="zh-CN"/>
          <w14:ligatures w14:val="none"/>
        </w:rPr>
        <w:t>aov</w:t>
      </w:r>
      <w:proofErr w:type="spellEnd"/>
      <w:r w:rsidR="00031C43" w:rsidRPr="00031C43">
        <w:rPr>
          <w:color w:val="auto"/>
          <w:kern w:val="0"/>
          <w:lang w:val="en-US" w:eastAsia="zh-CN"/>
          <w14:ligatures w14:val="none"/>
        </w:rPr>
        <w:t xml:space="preserve">(results ~ treatment, data = </w:t>
      </w:r>
      <w:proofErr w:type="spellStart"/>
      <w:r w:rsidR="00031C43" w:rsidRPr="00031C43">
        <w:rPr>
          <w:color w:val="auto"/>
          <w:kern w:val="0"/>
          <w:lang w:val="en-US" w:eastAsia="zh-CN"/>
          <w14:ligatures w14:val="none"/>
        </w:rPr>
        <w:t>df</w:t>
      </w:r>
      <w:proofErr w:type="spellEnd"/>
      <w:r w:rsidR="00031C43" w:rsidRPr="00031C43">
        <w:rPr>
          <w:color w:val="auto"/>
          <w:kern w:val="0"/>
          <w:lang w:val="en-US" w:eastAsia="zh-CN"/>
          <w14:ligatures w14:val="none"/>
        </w:rPr>
        <w:t>)</w:t>
      </w:r>
      <w:r w:rsidR="00031C43">
        <w:rPr>
          <w:color w:val="auto"/>
          <w:kern w:val="0"/>
          <w:lang w:val="en-US" w:eastAsia="zh-CN"/>
          <w14:ligatures w14:val="none"/>
        </w:rPr>
        <w:t>”</w:t>
      </w:r>
      <w:r w:rsidR="00960169">
        <w:rPr>
          <w:color w:val="auto"/>
          <w:kern w:val="0"/>
          <w:lang w:val="en-US" w:eastAsia="zh-CN"/>
          <w14:ligatures w14:val="none"/>
        </w:rPr>
        <w:t>; 5) Conduct Tuckey HSD post-hoc test</w:t>
      </w:r>
      <w:r w:rsidR="00031C43">
        <w:rPr>
          <w:color w:val="auto"/>
          <w:kern w:val="0"/>
          <w:lang w:val="en-US" w:eastAsia="zh-CN"/>
          <w14:ligatures w14:val="none"/>
        </w:rPr>
        <w:t xml:space="preserve"> mainly by “</w:t>
      </w:r>
      <w:proofErr w:type="spellStart"/>
      <w:r w:rsidR="00031C43" w:rsidRPr="00031C43">
        <w:rPr>
          <w:color w:val="auto"/>
          <w:kern w:val="0"/>
          <w:lang w:val="en-US" w:eastAsia="zh-CN"/>
          <w14:ligatures w14:val="none"/>
        </w:rPr>
        <w:t>tukey</w:t>
      </w:r>
      <w:proofErr w:type="spellEnd"/>
      <w:r w:rsidR="00031C43" w:rsidRPr="00031C43">
        <w:rPr>
          <w:color w:val="auto"/>
          <w:kern w:val="0"/>
          <w:lang w:val="en-US" w:eastAsia="zh-CN"/>
          <w14:ligatures w14:val="none"/>
        </w:rPr>
        <w:t xml:space="preserve"> &lt;- </w:t>
      </w:r>
      <w:proofErr w:type="spellStart"/>
      <w:r w:rsidR="00031C43" w:rsidRPr="00031C43">
        <w:rPr>
          <w:color w:val="auto"/>
          <w:kern w:val="0"/>
          <w:lang w:val="en-US" w:eastAsia="zh-CN"/>
          <w14:ligatures w14:val="none"/>
        </w:rPr>
        <w:t>TukeyHSD</w:t>
      </w:r>
      <w:proofErr w:type="spellEnd"/>
      <w:r w:rsidR="00031C43" w:rsidRPr="00031C43">
        <w:rPr>
          <w:color w:val="auto"/>
          <w:kern w:val="0"/>
          <w:lang w:val="en-US" w:eastAsia="zh-CN"/>
          <w14:ligatures w14:val="none"/>
        </w:rPr>
        <w:t>(model)</w:t>
      </w:r>
      <w:r w:rsidR="00031C43">
        <w:rPr>
          <w:color w:val="auto"/>
          <w:kern w:val="0"/>
          <w:lang w:val="en-US" w:eastAsia="zh-CN"/>
          <w14:ligatures w14:val="none"/>
        </w:rPr>
        <w:t>”</w:t>
      </w:r>
      <w:r w:rsidR="00960169">
        <w:rPr>
          <w:color w:val="auto"/>
          <w:kern w:val="0"/>
          <w:lang w:val="en-US" w:eastAsia="zh-CN"/>
          <w14:ligatures w14:val="none"/>
        </w:rPr>
        <w:t xml:space="preserve">; 6) </w:t>
      </w:r>
      <w:r w:rsidR="00960169" w:rsidRPr="00960169">
        <w:rPr>
          <w:color w:val="auto"/>
          <w:kern w:val="0"/>
          <w:lang w:val="en-US" w:eastAsia="zh-CN"/>
          <w14:ligatures w14:val="none"/>
        </w:rPr>
        <w:t>Adding daily variations to data set</w:t>
      </w:r>
      <w:r w:rsidR="00031C43">
        <w:rPr>
          <w:color w:val="auto"/>
          <w:kern w:val="0"/>
          <w:lang w:val="en-US" w:eastAsia="zh-CN"/>
          <w14:ligatures w14:val="none"/>
        </w:rPr>
        <w:t xml:space="preserve"> mainly by “</w:t>
      </w:r>
      <w:r w:rsidR="00031C43" w:rsidRPr="00031C43">
        <w:rPr>
          <w:color w:val="auto"/>
          <w:kern w:val="0"/>
          <w:lang w:val="en-US" w:eastAsia="zh-CN"/>
          <w14:ligatures w14:val="none"/>
        </w:rPr>
        <w:t>mutate(Variation = results - lag(results))</w:t>
      </w:r>
      <w:r w:rsidR="00031C43">
        <w:rPr>
          <w:color w:val="auto"/>
          <w:kern w:val="0"/>
          <w:lang w:val="en-US" w:eastAsia="zh-CN"/>
          <w14:ligatures w14:val="none"/>
        </w:rPr>
        <w:t xml:space="preserve">”. </w:t>
      </w:r>
      <w:r w:rsidR="00960169">
        <w:rPr>
          <w:color w:val="auto"/>
          <w:kern w:val="0"/>
          <w:lang w:val="en-US" w:eastAsia="zh-CN"/>
          <w14:ligatures w14:val="none"/>
        </w:rPr>
        <w:t xml:space="preserve"> </w:t>
      </w:r>
    </w:p>
    <w:p w14:paraId="5282DCE2" w14:textId="3E2AFDF9" w:rsidR="00960169" w:rsidRDefault="00960169" w:rsidP="008B7D6A">
      <w:pPr>
        <w:ind w:left="0" w:firstLine="0"/>
        <w:rPr>
          <w:color w:val="auto"/>
          <w:kern w:val="0"/>
          <w:lang w:val="en-US" w:eastAsia="zh-CN"/>
          <w14:ligatures w14:val="none"/>
        </w:rPr>
      </w:pPr>
      <w:r>
        <w:rPr>
          <w:color w:val="auto"/>
          <w:kern w:val="0"/>
          <w:lang w:val="en-US" w:eastAsia="zh-CN"/>
          <w14:ligatures w14:val="none"/>
        </w:rPr>
        <w:t xml:space="preserve">The growth curves were able to show the distinctive responses of Amoeba density dependent species (22.1 -) and Amoeba density independent </w:t>
      </w:r>
      <w:r w:rsidR="00793E3D">
        <w:rPr>
          <w:color w:val="auto"/>
          <w:kern w:val="0"/>
          <w:lang w:val="en-US" w:eastAsia="zh-CN"/>
          <w14:ligatures w14:val="none"/>
        </w:rPr>
        <w:t>inhibitive</w:t>
      </w:r>
      <w:r>
        <w:rPr>
          <w:color w:val="auto"/>
          <w:kern w:val="0"/>
          <w:lang w:val="en-US" w:eastAsia="zh-CN"/>
          <w14:ligatures w14:val="none"/>
        </w:rPr>
        <w:t xml:space="preserve"> species (52.2 +)</w:t>
      </w:r>
      <w:r w:rsidR="00793E3D">
        <w:rPr>
          <w:color w:val="auto"/>
          <w:kern w:val="0"/>
          <w:lang w:val="en-US" w:eastAsia="zh-CN"/>
          <w14:ligatures w14:val="none"/>
        </w:rPr>
        <w:t xml:space="preserve"> </w:t>
      </w:r>
      <w:r w:rsidR="00793E3D">
        <w:rPr>
          <w:rFonts w:eastAsiaTheme="majorEastAsia"/>
          <w:color w:val="2D3B45"/>
        </w:rPr>
        <w:t>(</w:t>
      </w:r>
      <w:r w:rsidR="00793E3D" w:rsidRPr="007916D4">
        <w:rPr>
          <w:color w:val="3A3A3A"/>
          <w:shd w:val="clear" w:color="auto" w:fill="FFFFFF"/>
        </w:rPr>
        <w:t>Urrutia-Cordero, P.,</w:t>
      </w:r>
      <w:r w:rsidR="00793E3D">
        <w:rPr>
          <w:color w:val="3A3A3A"/>
          <w:shd w:val="clear" w:color="auto" w:fill="FFFFFF"/>
        </w:rPr>
        <w:t xml:space="preserve"> et al., 2013</w:t>
      </w:r>
      <w:r w:rsidR="00793E3D">
        <w:rPr>
          <w:color w:val="3A3A3A"/>
          <w:shd w:val="clear" w:color="auto" w:fill="FFFFFF"/>
        </w:rPr>
        <w:t xml:space="preserve">; </w:t>
      </w:r>
      <w:r w:rsidR="00793E3D">
        <w:rPr>
          <w:rFonts w:eastAsiaTheme="majorEastAsia"/>
          <w:color w:val="2D3B45"/>
        </w:rPr>
        <w:t xml:space="preserve">Van </w:t>
      </w:r>
      <w:proofErr w:type="spellStart"/>
      <w:r w:rsidR="00793E3D">
        <w:rPr>
          <w:rFonts w:eastAsiaTheme="majorEastAsia"/>
          <w:color w:val="2D3B45"/>
        </w:rPr>
        <w:t>Wichelen</w:t>
      </w:r>
      <w:proofErr w:type="spellEnd"/>
      <w:r w:rsidR="00793E3D">
        <w:rPr>
          <w:rFonts w:eastAsiaTheme="majorEastAsia"/>
          <w:color w:val="2D3B45"/>
        </w:rPr>
        <w:t xml:space="preserve"> et al., 2012).</w:t>
      </w:r>
      <w:r w:rsidR="00793E3D">
        <w:rPr>
          <w:color w:val="3A3A3A"/>
          <w:shd w:val="clear" w:color="auto" w:fill="FFFFFF"/>
        </w:rPr>
        <w:t>)</w:t>
      </w:r>
      <w:r>
        <w:rPr>
          <w:color w:val="auto"/>
          <w:kern w:val="0"/>
          <w:lang w:val="en-US" w:eastAsia="zh-CN"/>
          <w14:ligatures w14:val="none"/>
        </w:rPr>
        <w:t>. The significance tests identified 1X and 5X treatments to 22.1 – were significantly different from control group</w:t>
      </w:r>
      <w:r w:rsidR="00031C43">
        <w:rPr>
          <w:color w:val="auto"/>
          <w:kern w:val="0"/>
          <w:lang w:val="en-US" w:eastAsia="zh-CN"/>
          <w14:ligatures w14:val="none"/>
        </w:rPr>
        <w:t xml:space="preserve"> (C)</w:t>
      </w:r>
      <w:r>
        <w:rPr>
          <w:color w:val="auto"/>
          <w:kern w:val="0"/>
          <w:lang w:val="en-US" w:eastAsia="zh-CN"/>
          <w14:ligatures w14:val="none"/>
        </w:rPr>
        <w:t xml:space="preserve">, while 10X was not. And there is no significance in all the groups in 52.2 +. These results are in accordance with visual inspection on biomass on Day 8 and the growth curve lines. Thus, this workflow and R codes utilized could be regarded as well-designed and </w:t>
      </w:r>
      <w:r w:rsidR="00F7276E">
        <w:rPr>
          <w:color w:val="auto"/>
          <w:kern w:val="0"/>
          <w:lang w:val="en-US" w:eastAsia="zh-CN"/>
          <w14:ligatures w14:val="none"/>
        </w:rPr>
        <w:t>reliable, which could be further modified by changing the testing variables to fit in more aims</w:t>
      </w:r>
      <w:r w:rsidR="00793E3D">
        <w:rPr>
          <w:color w:val="auto"/>
          <w:kern w:val="0"/>
          <w:lang w:val="en-US" w:eastAsia="zh-CN"/>
          <w14:ligatures w14:val="none"/>
        </w:rPr>
        <w:t xml:space="preserve"> </w:t>
      </w:r>
      <w:r w:rsidR="00793E3D" w:rsidRPr="00291303">
        <w:rPr>
          <w:rFonts w:eastAsiaTheme="majorEastAsia"/>
          <w:color w:val="2D3B45"/>
        </w:rPr>
        <w:t xml:space="preserve">(Van </w:t>
      </w:r>
      <w:proofErr w:type="spellStart"/>
      <w:r w:rsidR="00793E3D" w:rsidRPr="00291303">
        <w:rPr>
          <w:rFonts w:eastAsiaTheme="majorEastAsia"/>
          <w:color w:val="2D3B45"/>
        </w:rPr>
        <w:t>Wichelen</w:t>
      </w:r>
      <w:proofErr w:type="spellEnd"/>
      <w:r w:rsidR="00793E3D" w:rsidRPr="00291303">
        <w:rPr>
          <w:rFonts w:eastAsiaTheme="majorEastAsia"/>
          <w:color w:val="2D3B45"/>
        </w:rPr>
        <w:t xml:space="preserve"> et al., 2016</w:t>
      </w:r>
      <w:proofErr w:type="gramStart"/>
      <w:r w:rsidR="00793E3D" w:rsidRPr="00291303">
        <w:rPr>
          <w:rFonts w:eastAsiaTheme="majorEastAsia"/>
          <w:color w:val="2D3B45"/>
        </w:rPr>
        <w:t>)</w:t>
      </w:r>
      <w:r w:rsidR="00793E3D">
        <w:rPr>
          <w:rFonts w:eastAsiaTheme="majorEastAsia"/>
          <w:color w:val="2D3B45"/>
        </w:rPr>
        <w:t>.</w:t>
      </w:r>
      <w:r w:rsidR="00F7276E">
        <w:rPr>
          <w:color w:val="auto"/>
          <w:kern w:val="0"/>
          <w:lang w:val="en-US" w:eastAsia="zh-CN"/>
          <w14:ligatures w14:val="none"/>
        </w:rPr>
        <w:t>.</w:t>
      </w:r>
      <w:proofErr w:type="gramEnd"/>
      <w:r w:rsidR="00F7276E">
        <w:rPr>
          <w:color w:val="auto"/>
          <w:kern w:val="0"/>
          <w:lang w:val="en-US" w:eastAsia="zh-CN"/>
          <w14:ligatures w14:val="none"/>
        </w:rPr>
        <w:t xml:space="preserve"> </w:t>
      </w:r>
    </w:p>
    <w:p w14:paraId="62D08BC7" w14:textId="73076544" w:rsidR="00F7276E" w:rsidRDefault="00F7276E" w:rsidP="008B7D6A">
      <w:pPr>
        <w:ind w:left="0" w:firstLine="0"/>
        <w:rPr>
          <w:color w:val="auto"/>
          <w:kern w:val="0"/>
          <w:lang w:val="en-US" w:eastAsia="zh-CN"/>
          <w14:ligatures w14:val="none"/>
        </w:rPr>
      </w:pPr>
    </w:p>
    <w:p w14:paraId="7AADBF40" w14:textId="77777777" w:rsidR="008B7D6A" w:rsidRPr="00C4771B" w:rsidRDefault="008B7D6A" w:rsidP="008B7D6A">
      <w:pPr>
        <w:ind w:left="0" w:firstLine="0"/>
        <w:rPr>
          <w:lang w:val="en-US"/>
        </w:rPr>
      </w:pPr>
    </w:p>
    <w:p w14:paraId="7878B974" w14:textId="6DFF7D80" w:rsidR="00DD60B9" w:rsidRPr="00031C43" w:rsidRDefault="00000000" w:rsidP="008B7D6A">
      <w:pPr>
        <w:numPr>
          <w:ilvl w:val="0"/>
          <w:numId w:val="2"/>
        </w:numPr>
        <w:ind w:hanging="240"/>
        <w:rPr>
          <w:b/>
          <w:bCs/>
        </w:rPr>
      </w:pPr>
      <w:r w:rsidRPr="00031C43">
        <w:rPr>
          <w:b/>
          <w:bCs/>
        </w:rPr>
        <w:t xml:space="preserve">References </w:t>
      </w:r>
    </w:p>
    <w:p w14:paraId="1ECFA058" w14:textId="77777777" w:rsidR="00031C43" w:rsidRDefault="00031C43" w:rsidP="00031C43">
      <w:pPr>
        <w:ind w:left="230" w:firstLine="0"/>
      </w:pPr>
      <w:r w:rsidRPr="00031C43">
        <w:rPr>
          <w:lang w:val="en-US"/>
        </w:rPr>
        <w:t xml:space="preserve">Urrutia-Cordero, P., Agha, R., </w:t>
      </w:r>
      <w:proofErr w:type="spellStart"/>
      <w:r w:rsidRPr="00031C43">
        <w:rPr>
          <w:lang w:val="en-US"/>
        </w:rPr>
        <w:t>Cirés</w:t>
      </w:r>
      <w:proofErr w:type="spellEnd"/>
      <w:r w:rsidRPr="00031C43">
        <w:rPr>
          <w:lang w:val="en-US"/>
        </w:rPr>
        <w:t xml:space="preserve">, S., Lezcano, M. Á., Sánchez-Contreras, M., Waara, K.-O., </w:t>
      </w:r>
      <w:proofErr w:type="spellStart"/>
      <w:r w:rsidRPr="00031C43">
        <w:rPr>
          <w:lang w:val="en-US"/>
        </w:rPr>
        <w:t>Utkilen</w:t>
      </w:r>
      <w:proofErr w:type="spellEnd"/>
      <w:r w:rsidRPr="00031C43">
        <w:rPr>
          <w:lang w:val="en-US"/>
        </w:rPr>
        <w:t xml:space="preserve">, H., &amp; Quesada, A. (2013). Effects of harmful cyanobacteria on the freshwater </w:t>
      </w:r>
      <w:r w:rsidRPr="00031C43">
        <w:rPr>
          <w:lang w:val="en-US"/>
        </w:rPr>
        <w:lastRenderedPageBreak/>
        <w:t xml:space="preserve">pathogenic free-living amoeba Acanthamoeba </w:t>
      </w:r>
      <w:proofErr w:type="spellStart"/>
      <w:r w:rsidRPr="00031C43">
        <w:rPr>
          <w:lang w:val="en-US"/>
        </w:rPr>
        <w:t>castellanii</w:t>
      </w:r>
      <w:proofErr w:type="spellEnd"/>
      <w:r w:rsidRPr="00031C43">
        <w:rPr>
          <w:lang w:val="en-US"/>
        </w:rPr>
        <w:t>. </w:t>
      </w:r>
      <w:r w:rsidRPr="00031C43">
        <w:rPr>
          <w:i/>
          <w:iCs/>
          <w:lang w:val="en-US"/>
        </w:rPr>
        <w:t>Aquatic Toxicology</w:t>
      </w:r>
      <w:r w:rsidRPr="00031C43">
        <w:rPr>
          <w:lang w:val="en-US"/>
        </w:rPr>
        <w:t>, </w:t>
      </w:r>
      <w:r w:rsidRPr="00031C43">
        <w:rPr>
          <w:i/>
          <w:iCs/>
          <w:lang w:val="en-US"/>
        </w:rPr>
        <w:t>130–131</w:t>
      </w:r>
      <w:r w:rsidRPr="00031C43">
        <w:rPr>
          <w:lang w:val="en-US"/>
        </w:rPr>
        <w:t xml:space="preserve">, 9–17. </w:t>
      </w:r>
      <w:hyperlink r:id="rId6" w:history="1">
        <w:r w:rsidRPr="00031C43">
          <w:rPr>
            <w:rStyle w:val="Hyperlink"/>
            <w:lang w:val="en-US"/>
          </w:rPr>
          <w:t>https://doi.org/10.1016/j.aquatox.2012.12.019</w:t>
        </w:r>
      </w:hyperlink>
    </w:p>
    <w:p w14:paraId="5D0ECA41" w14:textId="77777777" w:rsidR="00793E3D" w:rsidRPr="00031C43" w:rsidRDefault="00793E3D" w:rsidP="00031C43">
      <w:pPr>
        <w:ind w:left="230" w:firstLine="0"/>
        <w:rPr>
          <w:lang w:val="en-US"/>
        </w:rPr>
      </w:pPr>
    </w:p>
    <w:p w14:paraId="1E470B77" w14:textId="4E246CF3" w:rsidR="00031C43" w:rsidRPr="00031C43" w:rsidRDefault="00031C43" w:rsidP="00031C43">
      <w:pPr>
        <w:ind w:left="230" w:firstLine="0"/>
        <w:rPr>
          <w:lang w:val="en-US"/>
        </w:rPr>
      </w:pPr>
      <w:r w:rsidRPr="00031C43">
        <w:rPr>
          <w:lang w:val="en-US"/>
        </w:rPr>
        <w:t xml:space="preserve">Van </w:t>
      </w:r>
      <w:proofErr w:type="spellStart"/>
      <w:r w:rsidRPr="00031C43">
        <w:rPr>
          <w:lang w:val="en-US"/>
        </w:rPr>
        <w:t>Wichelen</w:t>
      </w:r>
      <w:proofErr w:type="spellEnd"/>
      <w:r w:rsidRPr="00031C43">
        <w:rPr>
          <w:lang w:val="en-US"/>
        </w:rPr>
        <w:t>, J., D ’</w:t>
      </w:r>
      <w:proofErr w:type="spellStart"/>
      <w:r w:rsidRPr="00031C43">
        <w:rPr>
          <w:lang w:val="en-US"/>
        </w:rPr>
        <w:t>hondt</w:t>
      </w:r>
      <w:proofErr w:type="spellEnd"/>
      <w:r w:rsidRPr="00031C43">
        <w:rPr>
          <w:lang w:val="en-US"/>
        </w:rPr>
        <w:t xml:space="preserve">, S., Claeys, M., </w:t>
      </w:r>
      <w:proofErr w:type="spellStart"/>
      <w:r w:rsidRPr="00031C43">
        <w:rPr>
          <w:lang w:val="en-US"/>
        </w:rPr>
        <w:t>Vyverman</w:t>
      </w:r>
      <w:proofErr w:type="spellEnd"/>
      <w:r w:rsidRPr="00031C43">
        <w:rPr>
          <w:lang w:val="en-US"/>
        </w:rPr>
        <w:t xml:space="preserve">, W., Berney, C., Bass, D., &amp; </w:t>
      </w:r>
      <w:proofErr w:type="spellStart"/>
      <w:r w:rsidRPr="00031C43">
        <w:rPr>
          <w:lang w:val="en-US"/>
        </w:rPr>
        <w:t>Vanormelingen</w:t>
      </w:r>
      <w:proofErr w:type="spellEnd"/>
      <w:r w:rsidRPr="00031C43">
        <w:rPr>
          <w:lang w:val="en-US"/>
        </w:rPr>
        <w:t xml:space="preserve">, P. (2016). A Hotspot of Amoebae Diversity: 8 New Naked Amoebae Associated with the Planktonic Bloom-forming Cyanobacterium Microcystis. </w:t>
      </w:r>
      <w:r w:rsidRPr="00031C43">
        <w:rPr>
          <w:i/>
          <w:iCs/>
          <w:lang w:val="en-US"/>
        </w:rPr>
        <w:t xml:space="preserve">Acta </w:t>
      </w:r>
      <w:proofErr w:type="spellStart"/>
      <w:r w:rsidRPr="00031C43">
        <w:rPr>
          <w:i/>
          <w:iCs/>
          <w:lang w:val="en-US"/>
        </w:rPr>
        <w:t>Protozoologica</w:t>
      </w:r>
      <w:proofErr w:type="spellEnd"/>
      <w:r w:rsidRPr="00031C43">
        <w:rPr>
          <w:lang w:val="en-US"/>
        </w:rPr>
        <w:t xml:space="preserve">, </w:t>
      </w:r>
      <w:r w:rsidRPr="00031C43">
        <w:rPr>
          <w:i/>
          <w:iCs/>
          <w:lang w:val="en-US"/>
        </w:rPr>
        <w:t>55</w:t>
      </w:r>
      <w:r w:rsidRPr="00031C43">
        <w:rPr>
          <w:lang w:val="en-US"/>
        </w:rPr>
        <w:t xml:space="preserve">(2). </w:t>
      </w:r>
      <w:hyperlink r:id="rId7" w:history="1">
        <w:r w:rsidRPr="00031C43">
          <w:rPr>
            <w:rStyle w:val="Hyperlink"/>
            <w:lang w:val="en-US"/>
          </w:rPr>
          <w:t>https://doi.org/10.4467/16890027AP.16.007.4942ï</w:t>
        </w:r>
      </w:hyperlink>
    </w:p>
    <w:p w14:paraId="268F9040" w14:textId="77777777" w:rsidR="00031C43" w:rsidRPr="00031C43" w:rsidRDefault="00031C43" w:rsidP="00031C43">
      <w:pPr>
        <w:ind w:left="230" w:firstLine="0"/>
        <w:rPr>
          <w:lang w:val="en-US"/>
        </w:rPr>
      </w:pPr>
      <w:r w:rsidRPr="00031C43">
        <w:rPr>
          <w:lang w:val="en-US"/>
        </w:rPr>
        <w:t> </w:t>
      </w:r>
    </w:p>
    <w:p w14:paraId="6C9DADAE" w14:textId="77777777" w:rsidR="00031C43" w:rsidRPr="00031C43" w:rsidRDefault="00031C43" w:rsidP="00031C43">
      <w:pPr>
        <w:ind w:left="230" w:firstLine="0"/>
      </w:pPr>
      <w:r w:rsidRPr="00031C43">
        <w:rPr>
          <w:lang w:val="en-US"/>
        </w:rPr>
        <w:t xml:space="preserve">Van </w:t>
      </w:r>
      <w:proofErr w:type="spellStart"/>
      <w:r w:rsidRPr="00031C43">
        <w:rPr>
          <w:lang w:val="en-US"/>
        </w:rPr>
        <w:t>Wichelen</w:t>
      </w:r>
      <w:proofErr w:type="spellEnd"/>
      <w:r w:rsidRPr="00031C43">
        <w:rPr>
          <w:lang w:val="en-US"/>
        </w:rPr>
        <w:t xml:space="preserve">, J., van </w:t>
      </w:r>
      <w:proofErr w:type="spellStart"/>
      <w:r w:rsidRPr="00031C43">
        <w:rPr>
          <w:lang w:val="en-US"/>
        </w:rPr>
        <w:t>Gremberghe</w:t>
      </w:r>
      <w:proofErr w:type="spellEnd"/>
      <w:r w:rsidRPr="00031C43">
        <w:rPr>
          <w:lang w:val="en-US"/>
        </w:rPr>
        <w:t xml:space="preserve">, I., </w:t>
      </w:r>
      <w:proofErr w:type="spellStart"/>
      <w:r w:rsidRPr="00031C43">
        <w:rPr>
          <w:lang w:val="en-US"/>
        </w:rPr>
        <w:t>Vanormelingen</w:t>
      </w:r>
      <w:proofErr w:type="spellEnd"/>
      <w:r w:rsidRPr="00031C43">
        <w:rPr>
          <w:lang w:val="en-US"/>
        </w:rPr>
        <w:t xml:space="preserve">, P., </w:t>
      </w:r>
      <w:proofErr w:type="spellStart"/>
      <w:r w:rsidRPr="00031C43">
        <w:rPr>
          <w:lang w:val="en-US"/>
        </w:rPr>
        <w:t>Debeer</w:t>
      </w:r>
      <w:proofErr w:type="spellEnd"/>
      <w:r w:rsidRPr="00031C43">
        <w:rPr>
          <w:lang w:val="en-US"/>
        </w:rPr>
        <w:t xml:space="preserve">, A. E., </w:t>
      </w:r>
      <w:proofErr w:type="spellStart"/>
      <w:r w:rsidRPr="00031C43">
        <w:rPr>
          <w:lang w:val="en-US"/>
        </w:rPr>
        <w:t>Leporcq</w:t>
      </w:r>
      <w:proofErr w:type="spellEnd"/>
      <w:r w:rsidRPr="00031C43">
        <w:rPr>
          <w:lang w:val="en-US"/>
        </w:rPr>
        <w:t xml:space="preserve">, B., Menzel, D., Codd, G. A., </w:t>
      </w:r>
      <w:proofErr w:type="spellStart"/>
      <w:r w:rsidRPr="00031C43">
        <w:rPr>
          <w:lang w:val="en-US"/>
        </w:rPr>
        <w:t>Descy</w:t>
      </w:r>
      <w:proofErr w:type="spellEnd"/>
      <w:r w:rsidRPr="00031C43">
        <w:rPr>
          <w:lang w:val="en-US"/>
        </w:rPr>
        <w:t xml:space="preserve">, J. P., &amp; </w:t>
      </w:r>
      <w:proofErr w:type="spellStart"/>
      <w:r w:rsidRPr="00031C43">
        <w:rPr>
          <w:lang w:val="en-US"/>
        </w:rPr>
        <w:t>Vyverman</w:t>
      </w:r>
      <w:proofErr w:type="spellEnd"/>
      <w:r w:rsidRPr="00031C43">
        <w:rPr>
          <w:lang w:val="en-US"/>
        </w:rPr>
        <w:t xml:space="preserve">, W. (2010). Strong effects of amoebae grazing on the biomass and genetic structure of a Microcystis bloom (Cyanobacteria). </w:t>
      </w:r>
      <w:r w:rsidRPr="00031C43">
        <w:rPr>
          <w:i/>
          <w:iCs/>
          <w:lang w:val="en-US"/>
        </w:rPr>
        <w:t>Environmental Microbiology</w:t>
      </w:r>
      <w:r w:rsidRPr="00031C43">
        <w:rPr>
          <w:lang w:val="en-US"/>
        </w:rPr>
        <w:t xml:space="preserve">, </w:t>
      </w:r>
      <w:r w:rsidRPr="00031C43">
        <w:rPr>
          <w:i/>
          <w:iCs/>
          <w:lang w:val="en-US"/>
        </w:rPr>
        <w:t>12</w:t>
      </w:r>
      <w:r w:rsidRPr="00031C43">
        <w:rPr>
          <w:lang w:val="en-US"/>
        </w:rPr>
        <w:t xml:space="preserve">(10), 2797–2813. </w:t>
      </w:r>
      <w:hyperlink r:id="rId8" w:history="1">
        <w:r w:rsidRPr="00031C43">
          <w:rPr>
            <w:rStyle w:val="Hyperlink"/>
            <w:lang w:val="en-US"/>
          </w:rPr>
          <w:t>https://doi.org/10.1111/j.1462-2920.2010.02249.x</w:t>
        </w:r>
      </w:hyperlink>
    </w:p>
    <w:p w14:paraId="20D95440" w14:textId="77777777" w:rsidR="00031C43" w:rsidRPr="00031C43" w:rsidRDefault="00031C43" w:rsidP="00031C43">
      <w:pPr>
        <w:ind w:left="230" w:firstLine="0"/>
        <w:rPr>
          <w:lang w:val="en-US"/>
        </w:rPr>
      </w:pPr>
    </w:p>
    <w:p w14:paraId="781CE285" w14:textId="77777777" w:rsidR="00031C43" w:rsidRPr="00031C43" w:rsidRDefault="00031C43" w:rsidP="00031C43">
      <w:pPr>
        <w:ind w:left="230" w:firstLine="0"/>
      </w:pPr>
      <w:r w:rsidRPr="00031C43">
        <w:rPr>
          <w:lang w:val="en-US"/>
        </w:rPr>
        <w:t xml:space="preserve">Van </w:t>
      </w:r>
      <w:proofErr w:type="spellStart"/>
      <w:r w:rsidRPr="00031C43">
        <w:rPr>
          <w:lang w:val="en-US"/>
        </w:rPr>
        <w:t>Wichelen</w:t>
      </w:r>
      <w:proofErr w:type="spellEnd"/>
      <w:r w:rsidRPr="00031C43">
        <w:rPr>
          <w:lang w:val="en-US"/>
        </w:rPr>
        <w:t xml:space="preserve">, J., van </w:t>
      </w:r>
      <w:proofErr w:type="spellStart"/>
      <w:r w:rsidRPr="00031C43">
        <w:rPr>
          <w:lang w:val="en-US"/>
        </w:rPr>
        <w:t>Gremberghe</w:t>
      </w:r>
      <w:proofErr w:type="spellEnd"/>
      <w:r w:rsidRPr="00031C43">
        <w:rPr>
          <w:lang w:val="en-US"/>
        </w:rPr>
        <w:t xml:space="preserve">, I., </w:t>
      </w:r>
      <w:proofErr w:type="spellStart"/>
      <w:r w:rsidRPr="00031C43">
        <w:rPr>
          <w:lang w:val="en-US"/>
        </w:rPr>
        <w:t>Vanormelingen</w:t>
      </w:r>
      <w:proofErr w:type="spellEnd"/>
      <w:r w:rsidRPr="00031C43">
        <w:rPr>
          <w:lang w:val="en-US"/>
        </w:rPr>
        <w:t>, P</w:t>
      </w:r>
      <w:r w:rsidRPr="00031C43">
        <w:rPr>
          <w:i/>
          <w:iCs/>
          <w:lang w:val="en-US"/>
        </w:rPr>
        <w:t xml:space="preserve">. </w:t>
      </w:r>
      <w:r w:rsidRPr="00031C43">
        <w:rPr>
          <w:lang w:val="en-US"/>
        </w:rPr>
        <w:t xml:space="preserve">(2012). The importance of morphological versus chemical </w:t>
      </w:r>
      <w:proofErr w:type="spellStart"/>
      <w:r w:rsidRPr="00031C43">
        <w:rPr>
          <w:lang w:val="en-US"/>
        </w:rPr>
        <w:t>defences</w:t>
      </w:r>
      <w:proofErr w:type="spellEnd"/>
      <w:r w:rsidRPr="00031C43">
        <w:rPr>
          <w:lang w:val="en-US"/>
        </w:rPr>
        <w:t xml:space="preserve"> for the </w:t>
      </w:r>
      <w:proofErr w:type="spellStart"/>
      <w:r w:rsidRPr="00031C43">
        <w:rPr>
          <w:lang w:val="en-US"/>
        </w:rPr>
        <w:t>bloom</w:t>
      </w:r>
      <w:proofErr w:type="spellEnd"/>
      <w:r w:rsidRPr="00031C43">
        <w:rPr>
          <w:lang w:val="en-US"/>
        </w:rPr>
        <w:t>-forming cyanobacterium </w:t>
      </w:r>
      <w:r w:rsidRPr="00031C43">
        <w:rPr>
          <w:i/>
          <w:iCs/>
          <w:lang w:val="en-US"/>
        </w:rPr>
        <w:t>Microcystis</w:t>
      </w:r>
      <w:r w:rsidRPr="00031C43">
        <w:rPr>
          <w:lang w:val="en-US"/>
        </w:rPr>
        <w:t> against amoebae grazing. </w:t>
      </w:r>
      <w:proofErr w:type="spellStart"/>
      <w:r w:rsidRPr="00031C43">
        <w:rPr>
          <w:i/>
          <w:iCs/>
          <w:lang w:val="en-US"/>
        </w:rPr>
        <w:t>Aquat</w:t>
      </w:r>
      <w:proofErr w:type="spellEnd"/>
      <w:r w:rsidRPr="00031C43">
        <w:rPr>
          <w:i/>
          <w:iCs/>
          <w:lang w:val="en-US"/>
        </w:rPr>
        <w:t xml:space="preserve"> </w:t>
      </w:r>
      <w:proofErr w:type="spellStart"/>
      <w:r w:rsidRPr="00031C43">
        <w:rPr>
          <w:i/>
          <w:iCs/>
          <w:lang w:val="en-US"/>
        </w:rPr>
        <w:t>Ecol</w:t>
      </w:r>
      <w:proofErr w:type="spellEnd"/>
      <w:r w:rsidRPr="00031C43">
        <w:rPr>
          <w:lang w:val="en-US"/>
        </w:rPr>
        <w:t xml:space="preserve"> 46, 73–84. </w:t>
      </w:r>
      <w:hyperlink r:id="rId9" w:history="1">
        <w:r w:rsidRPr="00031C43">
          <w:rPr>
            <w:rStyle w:val="Hyperlink"/>
            <w:lang w:val="en-US"/>
          </w:rPr>
          <w:t>https://doi.org/10.1007/s10452-011-9382-8</w:t>
        </w:r>
      </w:hyperlink>
    </w:p>
    <w:p w14:paraId="2D8DC898" w14:textId="77777777" w:rsidR="00031C43" w:rsidRPr="00031C43" w:rsidRDefault="00031C43" w:rsidP="00031C43">
      <w:pPr>
        <w:ind w:left="230" w:firstLine="0"/>
        <w:rPr>
          <w:lang w:val="en-US"/>
        </w:rPr>
      </w:pPr>
    </w:p>
    <w:p w14:paraId="072B0154" w14:textId="77777777" w:rsidR="00031C43" w:rsidRPr="00031C43" w:rsidRDefault="00031C43" w:rsidP="00031C43">
      <w:pPr>
        <w:ind w:left="230" w:firstLine="0"/>
      </w:pPr>
      <w:r w:rsidRPr="00031C43">
        <w:rPr>
          <w:lang w:val="en-US"/>
        </w:rPr>
        <w:t xml:space="preserve">Weger, H. G., Polasek, A. K., Wright, D. M., Damodaran, A., &amp; </w:t>
      </w:r>
      <w:proofErr w:type="spellStart"/>
      <w:r w:rsidRPr="00031C43">
        <w:rPr>
          <w:lang w:val="en-US"/>
        </w:rPr>
        <w:t>Stavrinides</w:t>
      </w:r>
      <w:proofErr w:type="spellEnd"/>
      <w:r w:rsidRPr="00031C43">
        <w:rPr>
          <w:lang w:val="en-US"/>
        </w:rPr>
        <w:t xml:space="preserve">, J. (2024). Grazing preferences of three species of amoebae on cyanobacteria and green algae. </w:t>
      </w:r>
      <w:r w:rsidRPr="00031C43">
        <w:rPr>
          <w:i/>
          <w:iCs/>
          <w:lang w:val="en-US"/>
        </w:rPr>
        <w:t>Journal of Eukaryotic Microbiology</w:t>
      </w:r>
      <w:r w:rsidRPr="00031C43">
        <w:rPr>
          <w:lang w:val="en-US"/>
        </w:rPr>
        <w:t xml:space="preserve">, </w:t>
      </w:r>
      <w:r w:rsidRPr="00031C43">
        <w:rPr>
          <w:i/>
          <w:iCs/>
          <w:lang w:val="en-US"/>
        </w:rPr>
        <w:t>71</w:t>
      </w:r>
      <w:r w:rsidRPr="00031C43">
        <w:rPr>
          <w:lang w:val="en-US"/>
        </w:rPr>
        <w:t xml:space="preserve">(2). </w:t>
      </w:r>
      <w:hyperlink r:id="rId10" w:history="1">
        <w:r w:rsidRPr="00031C43">
          <w:rPr>
            <w:rStyle w:val="Hyperlink"/>
            <w:lang w:val="en-US"/>
          </w:rPr>
          <w:t>https://doi.org/10.1111/jeu.13018</w:t>
        </w:r>
      </w:hyperlink>
    </w:p>
    <w:p w14:paraId="672BD549" w14:textId="77777777" w:rsidR="00031C43" w:rsidRPr="00031C43" w:rsidRDefault="00031C43" w:rsidP="00031C43">
      <w:pPr>
        <w:ind w:left="230" w:firstLine="0"/>
        <w:rPr>
          <w:lang w:val="en-US"/>
        </w:rPr>
      </w:pPr>
    </w:p>
    <w:p w14:paraId="17DEB47B" w14:textId="77777777" w:rsidR="00031C43" w:rsidRPr="00031C43" w:rsidRDefault="00031C43" w:rsidP="00031C43">
      <w:pPr>
        <w:ind w:left="230" w:firstLine="0"/>
        <w:rPr>
          <w:lang w:val="en-US"/>
        </w:rPr>
      </w:pPr>
      <w:r w:rsidRPr="00031C43">
        <w:rPr>
          <w:lang w:val="en-US"/>
        </w:rPr>
        <w:t xml:space="preserve">Xinyao, L., Miao, S., </w:t>
      </w:r>
      <w:proofErr w:type="spellStart"/>
      <w:r w:rsidRPr="00031C43">
        <w:rPr>
          <w:lang w:val="en-US"/>
        </w:rPr>
        <w:t>Yonghong</w:t>
      </w:r>
      <w:proofErr w:type="spellEnd"/>
      <w:r w:rsidRPr="00031C43">
        <w:rPr>
          <w:lang w:val="en-US"/>
        </w:rPr>
        <w:t xml:space="preserve">, L., Yin, G., </w:t>
      </w:r>
      <w:proofErr w:type="spellStart"/>
      <w:r w:rsidRPr="00031C43">
        <w:rPr>
          <w:lang w:val="en-US"/>
        </w:rPr>
        <w:t>Zhongkai</w:t>
      </w:r>
      <w:proofErr w:type="spellEnd"/>
      <w:r w:rsidRPr="00031C43">
        <w:rPr>
          <w:lang w:val="en-US"/>
        </w:rPr>
        <w:t xml:space="preserve">, Z., </w:t>
      </w:r>
      <w:proofErr w:type="spellStart"/>
      <w:r w:rsidRPr="00031C43">
        <w:rPr>
          <w:lang w:val="en-US"/>
        </w:rPr>
        <w:t>Donghui</w:t>
      </w:r>
      <w:proofErr w:type="spellEnd"/>
      <w:r w:rsidRPr="00031C43">
        <w:rPr>
          <w:lang w:val="en-US"/>
        </w:rPr>
        <w:t xml:space="preserve">, W., </w:t>
      </w:r>
      <w:proofErr w:type="spellStart"/>
      <w:r w:rsidRPr="00031C43">
        <w:rPr>
          <w:lang w:val="en-US"/>
        </w:rPr>
        <w:t>Weizhong</w:t>
      </w:r>
      <w:proofErr w:type="spellEnd"/>
      <w:r w:rsidRPr="00031C43">
        <w:rPr>
          <w:lang w:val="en-US"/>
        </w:rPr>
        <w:t xml:space="preserve">, W., &amp; </w:t>
      </w:r>
      <w:proofErr w:type="spellStart"/>
      <w:r w:rsidRPr="00031C43">
        <w:rPr>
          <w:lang w:val="en-US"/>
        </w:rPr>
        <w:t>Chencai</w:t>
      </w:r>
      <w:proofErr w:type="spellEnd"/>
      <w:r w:rsidRPr="00031C43">
        <w:rPr>
          <w:lang w:val="en-US"/>
        </w:rPr>
        <w:t>, A. (2006). Feeding characteristics of an amoeba (</w:t>
      </w:r>
      <w:proofErr w:type="spellStart"/>
      <w:r w:rsidRPr="00031C43">
        <w:rPr>
          <w:lang w:val="en-US"/>
        </w:rPr>
        <w:t>Lobosea</w:t>
      </w:r>
      <w:proofErr w:type="spellEnd"/>
      <w:r w:rsidRPr="00031C43">
        <w:rPr>
          <w:lang w:val="en-US"/>
        </w:rPr>
        <w:t xml:space="preserve">: Naegleria) grazing upon cyanobacteria: Food selection, ingestion and digestion progress. </w:t>
      </w:r>
      <w:r w:rsidRPr="00031C43">
        <w:rPr>
          <w:i/>
          <w:iCs/>
          <w:lang w:val="en-US"/>
        </w:rPr>
        <w:t>Microbial Ecology</w:t>
      </w:r>
      <w:r w:rsidRPr="00031C43">
        <w:rPr>
          <w:lang w:val="en-US"/>
        </w:rPr>
        <w:t xml:space="preserve">, </w:t>
      </w:r>
      <w:r w:rsidRPr="00031C43">
        <w:rPr>
          <w:i/>
          <w:iCs/>
          <w:lang w:val="en-US"/>
        </w:rPr>
        <w:t>51</w:t>
      </w:r>
      <w:r w:rsidRPr="00031C43">
        <w:rPr>
          <w:lang w:val="en-US"/>
        </w:rPr>
        <w:t xml:space="preserve">(3), 315–325. </w:t>
      </w:r>
      <w:hyperlink r:id="rId11" w:history="1">
        <w:r w:rsidRPr="00031C43">
          <w:rPr>
            <w:rStyle w:val="Hyperlink"/>
            <w:lang w:val="en-US"/>
          </w:rPr>
          <w:t>https://doi.org/10.1007/s00248-006-9031-2</w:t>
        </w:r>
      </w:hyperlink>
    </w:p>
    <w:p w14:paraId="21E77CBD" w14:textId="1B20A3C2" w:rsidR="00031C43" w:rsidRDefault="00031C43" w:rsidP="00031C43">
      <w:pPr>
        <w:ind w:left="240" w:firstLine="0"/>
      </w:pPr>
    </w:p>
    <w:sectPr w:rsidR="00031C43">
      <w:pgSz w:w="12240" w:h="15840"/>
      <w:pgMar w:top="1440" w:right="151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27735"/>
    <w:multiLevelType w:val="hybridMultilevel"/>
    <w:tmpl w:val="5332F76E"/>
    <w:lvl w:ilvl="0" w:tplc="E9BA040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1FE"/>
    <w:multiLevelType w:val="hybridMultilevel"/>
    <w:tmpl w:val="3D207A6A"/>
    <w:lvl w:ilvl="0" w:tplc="C6A06BF0">
      <w:start w:val="2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5284CBF"/>
    <w:multiLevelType w:val="hybridMultilevel"/>
    <w:tmpl w:val="F4DC251C"/>
    <w:lvl w:ilvl="0" w:tplc="A5309D24">
      <w:start w:val="6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5E5A6F4F"/>
    <w:multiLevelType w:val="hybridMultilevel"/>
    <w:tmpl w:val="F4368424"/>
    <w:lvl w:ilvl="0" w:tplc="EB2CAEB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CC7E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2A9E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8C53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402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1AB3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D634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245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212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7B5C14"/>
    <w:multiLevelType w:val="hybridMultilevel"/>
    <w:tmpl w:val="6BAE87E6"/>
    <w:lvl w:ilvl="0" w:tplc="18D2A19A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CB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08AF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B834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09A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825D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3E3E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B620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053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2916563">
    <w:abstractNumId w:val="3"/>
  </w:num>
  <w:num w:numId="2" w16cid:durableId="664208382">
    <w:abstractNumId w:val="4"/>
  </w:num>
  <w:num w:numId="3" w16cid:durableId="60913240">
    <w:abstractNumId w:val="2"/>
  </w:num>
  <w:num w:numId="4" w16cid:durableId="525565292">
    <w:abstractNumId w:val="0"/>
  </w:num>
  <w:num w:numId="5" w16cid:durableId="868764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0B9"/>
    <w:rsid w:val="00031C43"/>
    <w:rsid w:val="000626EC"/>
    <w:rsid w:val="000C665B"/>
    <w:rsid w:val="000C745B"/>
    <w:rsid w:val="001F7839"/>
    <w:rsid w:val="002A797C"/>
    <w:rsid w:val="002B5299"/>
    <w:rsid w:val="003A1BA3"/>
    <w:rsid w:val="003B2F16"/>
    <w:rsid w:val="003F17BB"/>
    <w:rsid w:val="004627DF"/>
    <w:rsid w:val="005E3372"/>
    <w:rsid w:val="0070268A"/>
    <w:rsid w:val="00793E3D"/>
    <w:rsid w:val="007C1185"/>
    <w:rsid w:val="00802FDF"/>
    <w:rsid w:val="008B7D6A"/>
    <w:rsid w:val="00960169"/>
    <w:rsid w:val="009C351D"/>
    <w:rsid w:val="00B90722"/>
    <w:rsid w:val="00C4771B"/>
    <w:rsid w:val="00D13566"/>
    <w:rsid w:val="00D655AF"/>
    <w:rsid w:val="00D92B26"/>
    <w:rsid w:val="00DD60B9"/>
    <w:rsid w:val="00DD7412"/>
    <w:rsid w:val="00E21FE9"/>
    <w:rsid w:val="00F7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2CF1F"/>
  <w15:docId w15:val="{BA9326F0-2ACC-BB48-86B1-DB3B7C12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85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B2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31C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3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6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5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4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9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8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2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462-2920.2010.02249.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4467/16890027AP.16.007.4942%C3%A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aquatox.2012.12.019" TargetMode="External"/><Relationship Id="rId11" Type="http://schemas.openxmlformats.org/officeDocument/2006/relationships/hyperlink" Target="https://doi.org/10.1007/s00248-006-9031-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11/jeu.130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07/s10452-011-9382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9FD133-1DF7-0C49-AA63-37505959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ProspectusExample_5202</vt:lpstr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ProspectusExample_5202</dc:title>
  <dc:subject/>
  <dc:creator>Yang, Kunyu</dc:creator>
  <cp:keywords/>
  <cp:lastModifiedBy>Yang, Kunyu</cp:lastModifiedBy>
  <cp:revision>49</cp:revision>
  <cp:lastPrinted>2025-03-25T17:54:00Z</cp:lastPrinted>
  <dcterms:created xsi:type="dcterms:W3CDTF">2025-03-25T17:54:00Z</dcterms:created>
  <dcterms:modified xsi:type="dcterms:W3CDTF">2025-05-07T20:41:00Z</dcterms:modified>
</cp:coreProperties>
</file>