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png" ContentType="image/png"/>
  <Override PartName="/word/media/image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997"/>
        <w:ind w:left="0" w:right="299" w:hanging="0"/>
        <w:jc w:val="center"/>
        <w:rPr/>
      </w:pPr>
      <w:r>
        <w:rPr>
          <w:sz w:val="34"/>
          <w:lang w:val="en-US"/>
        </w:rPr>
        <w:t>DRAFT: Harmonized and trait aggregation paper</w:t>
      </w:r>
    </w:p>
    <w:p>
      <w:pPr>
        <w:pStyle w:val="Berschrift1"/>
        <w:ind w:left="-5" w:right="299" w:hanging="10"/>
        <w:rPr>
          <w:lang w:val="en-US"/>
        </w:rPr>
      </w:pPr>
      <w:r>
        <w:rPr>
          <w:lang w:val="en-US"/>
        </w:rPr>
        <w:t>Introduction</w:t>
      </w:r>
    </w:p>
    <w:p>
      <w:pPr>
        <w:pStyle w:val="Normal"/>
        <w:ind w:left="-5" w:right="284" w:hanging="10"/>
        <w:rPr>
          <w:lang w:val="en-US"/>
        </w:rPr>
      </w:pPr>
      <w:r>
        <w:rPr>
          <w:lang w:val="en-US"/>
        </w:rPr>
        <w:t>Explaining and predicting how communities are shaped by environmental factors is one of the main goals of ecology. Organismal traits, defined as measurable properties of an organism [1], might be beneficial in achieving this goal [2]. Traits evolve through adaptations (e.g., physiological, behavioral, etc.) of organisms to their environment and indicate direct or indirect linkages between the biological response of an organism to its environment [3, 4]. Besides providing a mechanistic explanation of species-environment relationships, trait-based approaches might be suitable for large scale analysis because the variability in trait responses is lower than for taxonomic responses [5, 6]. Traits of freshwater invertebrates are difficult to determine because, unlike plants, their traits often cannot be measured directly. For example, to gain knowledge on feeding habits requires evaluating mouthpart morphology, consumed food, and the organisms function within its community [7]. Nevertheless, invertebrate traits have been increasingly used in freshwater ecology, e.g. by relating macroinvertebrate trait composition to environmental factors or as trait metrics in biomonitoring [8–11].</w:t>
      </w:r>
    </w:p>
    <w:p>
      <w:pPr>
        <w:pStyle w:val="Normal"/>
        <w:ind w:left="-15" w:right="284" w:firstLine="299"/>
        <w:rPr/>
      </w:pPr>
      <w:r>
        <w:rPr>
          <w:lang w:val="en-US"/>
        </w:rPr>
        <w:t xml:space="preserve">In the last decades, freshwater ecologists developed comprehensive invertebrate trait databases for various biogeographic regions [12–17]. The availability of invertebrate trait data from different biogeographic regions enables comparisons of trait variation and their relation to environmental factors across large scales. However, such analyses have been carried out mostly within biogeographic regions, using information from one or two trait databases. For example, Bonada et al. [5] compared trait composition for mediterranean and temperate regions in Europe using traits from Usseglio-Polatera et al. </w:t>
      </w:r>
      <w:r>
        <w:rPr/>
        <w:t xml:space="preserve">[12], Poff et al. [8] characterized trait composition across sites in the Western US using traits from Poff et al. [18], and Botwe et al. [19] investigated the effect of salinity on invertebrate traits in different sites in South Australia using trait data from Poff et al. [18] and Schäfer et al. [20]. </w:t>
      </w:r>
      <w:r>
        <w:rPr>
          <w:lang w:val="en-US"/>
        </w:rPr>
        <w:t xml:space="preserve">Analyses of invertebrate traits that synthesize information on invertebrate grouping features from more than two different biogeographic regions are rare. </w:t>
      </w:r>
      <w:r>
        <w:rPr/>
        <w:t>A grouping feature is defined by Schmera et al. as a general property (e.g. feeding mode) that comprises a ”group of related traits (e.g., predator, shredder, etc.) that vary among species or among individuals within a species” [21]. To our knowledge, only Brown et al. [22] harmonized grouping features from more than two geographically distant invertebrate trait databases in a study on the influence of decreasing glacier cover on functional diversity and community assembly of invertebrates.</w:t>
      </w:r>
    </w:p>
    <w:p>
      <w:pPr>
        <w:pStyle w:val="Normal"/>
        <w:ind w:left="-15" w:right="284" w:firstLine="299"/>
        <w:rPr>
          <w:lang w:val="en-US"/>
        </w:rPr>
      </w:pPr>
      <w:r>
        <w:rPr>
          <w:lang w:val="en-US"/>
        </w:rPr>
        <w:t>We suspect that the heterogeneity of information in freshwater invertebrate trait databases is likely a major reason for the lack of studies across biogeographic regions. To harmonize grouping features from different regions, first commonly accepted and unambiguous trait definitions are required [23]. In the best case, grouping features would be classified into the same traits across databases or they could easily be harmonized using standardized terminology. However, a lack of standardized terminology of trait definitions and poor metadata quality in many trait databases is a common issue throughout the field of trait-based ecology [6, 23]. Secondly, consistent coding of traits facilitates the compatibility of trait data from different databases. Traits can be binary (i.e. trait exists or not), continuous, or fuzzy coded variables. Fuzzy codes represent the affinity of an organism to express a certain trait. They are used to account for plasticity in traits and are usually converted to percentages. Continuous values are typically used for grouping features that can be measured, like body size. However, invertebrate trait databases are heterogeneous with regard to the coding they use for their traits [24] (Table 5). Brown et al. [22] harmonized grouping features based on trait databases from Europe, North America, and New Zealand because in these trait databases identical grouping features are classified differently into traits. As the traits from North America were coded binary in contrast to the fuzzy coded traits from from Europe and New Zealand, the authors consulted experts to assign fuzzy coded traits to North American taxa or inferred them from the European trait database. Thus, it becomes apparent that using invertebrate trait data from several regions requires extensive data processing prior to the actual data analysis. A centralized database with standardized and unambiguous traits and a consistent coding of traits would minimize data processing effort.</w:t>
      </w:r>
    </w:p>
    <w:p>
      <w:pPr>
        <w:pStyle w:val="Normal"/>
        <w:ind w:left="-15" w:right="284" w:firstLine="299"/>
        <w:rPr/>
      </w:pPr>
      <w:r>
        <w:rPr>
          <w:lang w:val="en-US"/>
        </w:rPr>
        <w:t xml:space="preserve">Differing taxonomic resolutions between the observed taxa in a study and the used trait database is another challenge when working with trait data. When observations are on a lower taxonomic level than data available in the trait databases (e.g. observations on species-level, trait data on genus-level) trait data of the higher taxonomic level are often assigned, e.g. [9, 25]. Conversely, if trait information is only available on lower taxonomic levels than the observed taxa, traits are aggregated to a higher taxonomic level, e.g. [9, 18, 26, 27]. Thereby, trait aggregation is often done using the mean [28], median [9] or the mode [26]. Up to now, studies on how and to which extent different trait aggregation methods influence trait-based analysis are missing. </w:t>
      </w:r>
      <w:r>
        <w:rPr>
          <w:rFonts w:ascii="Cambria" w:hAnsi="Cambria"/>
          <w:b w:val="false"/>
          <w:color w:val="24292E"/>
          <w:sz w:val="20"/>
          <w:szCs w:val="20"/>
          <w:highlight w:val="white"/>
          <w:lang w:val="en-US"/>
        </w:rPr>
        <w:t>Knowing this can aid the choice of aggregation method for future studies.</w:t>
      </w:r>
    </w:p>
    <w:p>
      <w:pPr>
        <w:pStyle w:val="Normal"/>
        <w:ind w:left="-15" w:right="284" w:firstLine="299"/>
        <w:rPr/>
      </w:pPr>
      <w:r>
        <w:rPr>
          <w:lang w:val="en-US"/>
        </w:rPr>
        <w:t xml:space="preserve">We analyzed the influence of grouping feature harmonization and trait aggregation on trait-environment relationships. Therefore, we (1) harmonized four invertebrate grouping feature datasets for seven grouping features based on information from trait databases of the regions Europe, North America, New Zealand, and Australia. Furthermore, we (2) compare trait affinities obtained through different trait aggregation methods to trait affinities assigned at family-level by experts. We (3) re-analyze data on the effect of anthropogenic salinization on biological traits by Szöcs et al. </w:t>
      </w:r>
      <w:r>
        <w:rPr/>
        <w:t xml:space="preserve">[9] using harmonized grouping features and aggregated traits. </w:t>
      </w:r>
      <w:r>
        <w:rPr>
          <w:lang w:val="en-US"/>
        </w:rPr>
        <w:t>By comparison with the original analysis, we investigate how harmonizing and aggregating trait data can alter the outcome of trait-environment relationships. Finally, we (4) present an overview of discrepancies in trait definition between the used invertebrate trait datasets and discuss challenges of trait data synthesis.</w:t>
      </w:r>
    </w:p>
    <w:p>
      <w:pPr>
        <w:pStyle w:val="Berschrift1"/>
        <w:ind w:left="-5" w:right="299" w:hanging="10"/>
        <w:rPr>
          <w:lang w:val="en-US"/>
        </w:rPr>
      </w:pPr>
      <w:r>
        <w:rPr>
          <w:lang w:val="en-US"/>
        </w:rPr>
      </w:r>
    </w:p>
    <w:p>
      <w:pPr>
        <w:pStyle w:val="Berschrift1"/>
        <w:ind w:left="-5" w:right="299" w:hanging="10"/>
        <w:rPr>
          <w:lang w:val="en-US"/>
        </w:rPr>
      </w:pPr>
      <w:r>
        <w:rPr>
          <w:lang w:val="en-US"/>
        </w:rPr>
        <w:t>Methods</w:t>
      </w:r>
    </w:p>
    <w:p>
      <w:pPr>
        <w:pStyle w:val="Berschrift2"/>
        <w:ind w:left="-5" w:right="299" w:hanging="10"/>
        <w:rPr>
          <w:lang w:val="en-US"/>
        </w:rPr>
      </w:pPr>
      <w:r>
        <w:rPr>
          <w:lang w:val="en-US"/>
        </w:rPr>
        <w:t>Selection of traits and harmonization of trait databases</w:t>
      </w:r>
    </w:p>
    <w:p>
      <w:pPr>
        <w:pStyle w:val="Normal"/>
        <w:ind w:left="-5" w:right="284" w:hanging="10"/>
        <w:rPr/>
      </w:pPr>
      <w:r>
        <w:rPr>
          <w:lang w:val="en-US"/>
        </w:rPr>
        <w:t xml:space="preserve">We extracted information from 6 trait databases from Europe, North America, Australia, and New Zealand and harmonized 7 grouping features. Trait information for Europe was obtained from the Freshwaterecology database [13] and complemented by Tachet [12] to fill missing information (e.g. for size). Trait information for North America was obtained from Twardochleb et al. </w:t>
      </w:r>
      <w:r>
        <w:rPr/>
        <w:t xml:space="preserve">[29] and complemented by Vieira et al. [14]. </w:t>
      </w:r>
      <w:r>
        <w:rPr>
          <w:lang w:val="en-US"/>
        </w:rPr>
        <w:t xml:space="preserve">Data on body form for European and North American taxa was provided based on expert knowledge [30]. For Australia and New Zealand, we used trait databases from Kefford et al. </w:t>
      </w:r>
      <w:r>
        <w:rPr/>
        <w:t>[16] and Philips and Smith respectively [15].</w:t>
      </w:r>
    </w:p>
    <w:p>
      <w:pPr>
        <w:pStyle w:val="Normal"/>
        <w:ind w:left="-15" w:right="284" w:firstLine="299"/>
        <w:rPr>
          <w:lang w:val="en-US"/>
        </w:rPr>
      </w:pPr>
      <w:r>
        <w:rPr>
          <w:lang w:val="en-US"/>
        </w:rPr>
        <w:t>We selected traits of seven grouping features that were available in all databases, are commonly used, and describe different parts of the biology of an organism: life history (Voltinism), morphology (Respiration, Body form, Size), ecology (Locomotion, Feeding mode) and reproduction (Oviposition). We omitted ecological traits that describe habitat preferences (e.g. temperature preference) because these traits are missing in the New Zealand trait database. The grouping features were differently classified across the databases, we therefore harmonized them into 26 traits (Table 1). Harmonization was undertaken by amalgamating similar traits into one trait (e.g. crawlers and sprawlers into crawlers). Thereby, the highest trait affinity among the amalgamated traits was taken.</w:t>
      </w:r>
    </w:p>
    <w:p>
      <w:pPr>
        <w:pStyle w:val="Normal"/>
        <w:ind w:left="-15" w:right="284" w:firstLine="299"/>
        <w:rPr>
          <w:lang w:val="en-US"/>
        </w:rPr>
      </w:pPr>
      <w:r>
        <w:rPr>
          <w:lang w:val="en-US"/>
        </w:rPr>
        <w:t>We used fuzzy coded traits for establishing our harmonized datasets unless data quality prohibited and then we used binary traits, i.e. categorical and continuous traits were converted into binary traits. Implicitly, we assumed for binary traits that a value of 1 corresponds to the highest affinity for a particular trait and 0 to no affinity for a particular trait. Fuzzy codes are reported with different ranges in the trait databases (e.g. freshwaterecology 0 to 10, Tachet 0 to 3 or 0 to 5). We standardized them to a range between 0 and 1 and converted trait affinities to percentages. Thus, fuzzy coded and binary traits were in the same range.</w:t>
      </w:r>
    </w:p>
    <w:p>
      <w:pPr>
        <w:pStyle w:val="Normal"/>
        <w:ind w:left="-15" w:right="284" w:firstLine="299"/>
        <w:rPr>
          <w:lang w:val="en-US"/>
        </w:rPr>
      </w:pPr>
      <w:r>
        <w:rPr>
          <w:lang w:val="en-US"/>
        </w:rPr>
        <w:t>Prior harmonization we amalgamated duplicate taxa on species, genus or family-level if present. We omitted taxa with a lower taxonomic resolution than family-level.</w:t>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5" w:right="284" w:hanging="10"/>
        <w:rPr>
          <w:lang w:val="en-US"/>
        </w:rPr>
      </w:pPr>
      <w:r>
        <w:rPr>
          <w:lang w:val="en-US"/>
        </w:rPr>
        <w:t>Table 1: Traits of the harmonized grouping features. The last column indicates traits that were amalgamated for harmonization (no amalgamation needed if empty).</w:t>
      </w:r>
    </w:p>
    <w:tbl>
      <w:tblPr>
        <w:tblStyle w:val="TableGrid"/>
        <w:tblW w:w="7449" w:type="dxa"/>
        <w:jc w:val="left"/>
        <w:tblInd w:w="559" w:type="dxa"/>
        <w:tblBorders>
          <w:top w:val="single" w:sz="8" w:space="0" w:color="000000"/>
          <w:bottom w:val="single" w:sz="8" w:space="0" w:color="000000"/>
          <w:insideH w:val="single" w:sz="8" w:space="0" w:color="000000"/>
        </w:tblBorders>
        <w:tblCellMar>
          <w:top w:w="33" w:type="dxa"/>
          <w:left w:w="0" w:type="dxa"/>
          <w:bottom w:w="0" w:type="dxa"/>
          <w:right w:w="113" w:type="dxa"/>
        </w:tblCellMar>
        <w:tblLook w:noVBand="1" w:val="04a0" w:noHBand="0" w:lastColumn="0" w:firstColumn="1" w:lastRow="0" w:firstRow="1"/>
      </w:tblPr>
      <w:tblGrid>
        <w:gridCol w:w="1830"/>
        <w:gridCol w:w="1747"/>
        <w:gridCol w:w="3872"/>
      </w:tblGrid>
      <w:tr>
        <w:trPr>
          <w:trHeight w:val="315" w:hRule="atLeast"/>
        </w:trPr>
        <w:tc>
          <w:tcPr>
            <w:tcW w:w="183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Grouping feature</w:t>
            </w:r>
          </w:p>
        </w:tc>
        <w:tc>
          <w:tcPr>
            <w:tcW w:w="17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Trait</w:t>
            </w:r>
          </w:p>
        </w:tc>
        <w:tc>
          <w:tcPr>
            <w:tcW w:w="3872"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Amalgamated traits</w:t>
            </w:r>
          </w:p>
        </w:tc>
      </w:tr>
      <w:tr>
        <w:trPr>
          <w:trHeight w:val="822" w:hRule="atLeast"/>
        </w:trPr>
        <w:tc>
          <w:tcPr>
            <w:tcW w:w="1830" w:type="dxa"/>
            <w:tcBorders>
              <w:top w:val="single" w:sz="8"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Voltinism</w:t>
            </w:r>
          </w:p>
        </w:tc>
        <w:tc>
          <w:tcPr>
            <w:tcW w:w="1747" w:type="dxa"/>
            <w:tcBorders>
              <w:top w:val="single" w:sz="8"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Semivoltine</w:t>
            </w:r>
          </w:p>
          <w:p>
            <w:pPr>
              <w:pStyle w:val="Normal"/>
              <w:spacing w:lineRule="auto" w:line="259" w:before="0" w:after="0"/>
              <w:ind w:left="0" w:right="0" w:hanging="0"/>
              <w:jc w:val="left"/>
              <w:rPr/>
            </w:pPr>
            <w:r>
              <w:rPr/>
              <w:t>Univoltine</w:t>
            </w:r>
          </w:p>
          <w:p>
            <w:pPr>
              <w:pStyle w:val="Normal"/>
              <w:spacing w:lineRule="auto" w:line="259" w:before="0" w:after="0"/>
              <w:ind w:left="0" w:right="0" w:hanging="0"/>
              <w:jc w:val="left"/>
              <w:rPr/>
            </w:pPr>
            <w:r>
              <w:rPr/>
              <w:t>Bi/multivoltine</w:t>
            </w:r>
          </w:p>
        </w:tc>
        <w:tc>
          <w:tcPr>
            <w:tcW w:w="3872" w:type="dxa"/>
            <w:tcBorders>
              <w:top w:val="single" w:sz="8" w:space="0" w:color="000000"/>
              <w:bottom w:val="single" w:sz="4" w:space="0" w:color="000000"/>
              <w:insideH w:val="single" w:sz="4" w:space="0" w:color="000000"/>
            </w:tcBorders>
            <w:shd w:fill="auto" w:val="clear"/>
          </w:tcPr>
          <w:p>
            <w:pPr>
              <w:pStyle w:val="Normal"/>
              <w:spacing w:lineRule="auto" w:line="276" w:before="0" w:after="0"/>
              <w:ind w:left="0" w:right="1646" w:hanging="0"/>
              <w:jc w:val="left"/>
              <w:rPr>
                <w:lang w:val="en-US"/>
              </w:rPr>
            </w:pPr>
            <w:r>
              <w:rPr>
                <w:i/>
                <w:lang w:val="en-US"/>
              </w:rPr>
              <w:t>&lt;</w:t>
            </w:r>
            <w:r>
              <w:rPr>
                <w:lang w:val="en-US"/>
              </w:rPr>
              <w:t>1 generation per year 1 generation per year</w:t>
            </w:r>
          </w:p>
          <w:p>
            <w:pPr>
              <w:pStyle w:val="Normal"/>
              <w:spacing w:lineRule="auto" w:line="259" w:before="0" w:after="0"/>
              <w:ind w:left="0" w:right="0" w:hanging="0"/>
              <w:jc w:val="left"/>
              <w:rPr/>
            </w:pPr>
            <w:r>
              <w:rPr>
                <w:i/>
              </w:rPr>
              <w:t>&gt;</w:t>
            </w:r>
            <w:r>
              <w:rPr/>
              <w:t>1 generation per year</w:t>
            </w:r>
          </w:p>
        </w:tc>
      </w:tr>
      <w:tr>
        <w:trPr>
          <w:trHeight w:val="105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Body Form</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Cylindrical</w:t>
            </w:r>
          </w:p>
          <w:p>
            <w:pPr>
              <w:pStyle w:val="Normal"/>
              <w:spacing w:lineRule="auto" w:line="259" w:before="0" w:after="0"/>
              <w:ind w:left="0" w:right="0" w:hanging="0"/>
              <w:jc w:val="left"/>
              <w:rPr/>
            </w:pPr>
            <w:r>
              <w:rPr/>
              <w:t>Flattenend</w:t>
            </w:r>
          </w:p>
          <w:p>
            <w:pPr>
              <w:pStyle w:val="Normal"/>
              <w:spacing w:lineRule="auto" w:line="259" w:before="0" w:after="0"/>
              <w:ind w:left="0" w:right="0" w:hanging="0"/>
              <w:jc w:val="left"/>
              <w:rPr/>
            </w:pPr>
            <w:r>
              <w:rPr/>
              <w:t>Spherical</w:t>
            </w:r>
          </w:p>
          <w:p>
            <w:pPr>
              <w:pStyle w:val="Normal"/>
              <w:spacing w:lineRule="auto" w:line="259" w:before="0" w:after="0"/>
              <w:ind w:left="0" w:right="0" w:hanging="0"/>
              <w:jc w:val="left"/>
              <w:rPr/>
            </w:pPr>
            <w:r>
              <w:rPr/>
              <w:t>Streamlined</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lang w:val="en-US"/>
              </w:rPr>
            </w:pPr>
            <w:r>
              <w:rPr>
                <w:lang w:val="en-US"/>
              </w:rPr>
              <w:t>Cylindrical, round (humped)</w:t>
            </w:r>
          </w:p>
          <w:p>
            <w:pPr>
              <w:pStyle w:val="Normal"/>
              <w:spacing w:lineRule="auto" w:line="259" w:before="0" w:after="0"/>
              <w:ind w:left="0" w:right="0" w:hanging="0"/>
              <w:jc w:val="left"/>
              <w:rPr>
                <w:lang w:val="en-US"/>
              </w:rPr>
            </w:pPr>
            <w:r>
              <w:rPr>
                <w:lang w:val="en-US"/>
              </w:rPr>
              <w:t>Flattend, dorsoventrally flattened</w:t>
            </w:r>
          </w:p>
          <w:p>
            <w:pPr>
              <w:pStyle w:val="Normal"/>
              <w:spacing w:lineRule="auto" w:line="259" w:before="0" w:after="0"/>
              <w:ind w:left="0" w:right="0" w:hanging="0"/>
              <w:jc w:val="left"/>
              <w:rPr/>
            </w:pPr>
            <w:r>
              <w:rPr/>
              <w:t>Spherical, tubular</w:t>
            </w:r>
          </w:p>
          <w:p>
            <w:pPr>
              <w:pStyle w:val="Normal"/>
              <w:spacing w:lineRule="auto" w:line="259" w:before="0" w:after="0"/>
              <w:ind w:left="0" w:right="0" w:hanging="0"/>
              <w:jc w:val="left"/>
              <w:rPr/>
            </w:pPr>
            <w:r>
              <w:rPr/>
              <w:t>Streamlined, fusiform</w:t>
            </w:r>
          </w:p>
        </w:tc>
      </w:tr>
      <w:tr>
        <w:trPr>
          <w:trHeight w:val="817"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Size</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Small</w:t>
            </w:r>
          </w:p>
          <w:p>
            <w:pPr>
              <w:pStyle w:val="Normal"/>
              <w:spacing w:lineRule="auto" w:line="259" w:before="0" w:after="0"/>
              <w:ind w:left="0" w:right="0" w:hanging="0"/>
              <w:jc w:val="left"/>
              <w:rPr/>
            </w:pPr>
            <w:r>
              <w:rPr/>
              <w:t>Medium</w:t>
            </w:r>
          </w:p>
          <w:p>
            <w:pPr>
              <w:pStyle w:val="Normal"/>
              <w:spacing w:lineRule="auto" w:line="259" w:before="0" w:after="0"/>
              <w:ind w:left="0" w:right="0" w:hanging="0"/>
              <w:jc w:val="left"/>
              <w:rPr/>
            </w:pPr>
            <w:r>
              <w:rPr/>
              <w:t>Large</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19"/>
              <w:ind w:left="0" w:right="0" w:hanging="0"/>
              <w:jc w:val="left"/>
              <w:rPr/>
            </w:pPr>
            <w:r>
              <w:rPr>
                <w:i/>
              </w:rPr>
              <w:t>&lt;</w:t>
            </w:r>
            <w:r>
              <w:rPr/>
              <w:t xml:space="preserve">9 mm, </w:t>
            </w:r>
            <w:r>
              <w:rPr>
                <w:i/>
              </w:rPr>
              <w:t>&lt;</w:t>
            </w:r>
            <w:r>
              <w:rPr/>
              <w:t>10 mm</w:t>
            </w:r>
          </w:p>
          <w:p>
            <w:pPr>
              <w:pStyle w:val="Normal"/>
              <w:spacing w:lineRule="auto" w:line="259" w:before="0" w:after="19"/>
              <w:ind w:left="0" w:right="0" w:hanging="0"/>
              <w:jc w:val="left"/>
              <w:rPr/>
            </w:pPr>
            <w:r>
              <w:rPr/>
              <w:t>9 - 16 mm, 10 - 20 mm</w:t>
            </w:r>
          </w:p>
          <w:p>
            <w:pPr>
              <w:pStyle w:val="Normal"/>
              <w:spacing w:lineRule="auto" w:line="259" w:before="0" w:after="0"/>
              <w:ind w:left="0" w:right="0" w:hanging="0"/>
              <w:jc w:val="left"/>
              <w:rPr/>
            </w:pPr>
            <w:r>
              <w:rPr>
                <w:i/>
              </w:rPr>
              <w:t>&gt;</w:t>
            </w:r>
            <w:r>
              <w:rPr/>
              <w:t xml:space="preserve">16 mm, </w:t>
            </w:r>
            <w:r>
              <w:rPr>
                <w:i/>
              </w:rPr>
              <w:t>&gt;</w:t>
            </w:r>
            <w:r>
              <w:rPr/>
              <w:t>20 mm</w:t>
            </w:r>
          </w:p>
        </w:tc>
      </w:tr>
      <w:tr>
        <w:trPr>
          <w:trHeight w:val="129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Respiration</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Gills</w:t>
            </w:r>
          </w:p>
          <w:p>
            <w:pPr>
              <w:pStyle w:val="Normal"/>
              <w:spacing w:lineRule="auto" w:line="259" w:before="0" w:after="463"/>
              <w:ind w:left="0" w:right="0" w:hanging="0"/>
              <w:jc w:val="left"/>
              <w:rPr/>
            </w:pPr>
            <w:r>
              <w:rPr/>
              <w:t>Plastron/Spiracle</w:t>
            </w:r>
          </w:p>
          <w:p>
            <w:pPr>
              <w:pStyle w:val="Normal"/>
              <w:spacing w:lineRule="auto" w:line="259" w:before="0" w:after="0"/>
              <w:ind w:left="0" w:right="0" w:hanging="0"/>
              <w:jc w:val="left"/>
              <w:rPr/>
            </w:pPr>
            <w:r>
              <w:rPr/>
              <w:t>Tegument</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40" w:before="0" w:after="0"/>
              <w:ind w:left="0" w:right="318" w:hanging="0"/>
              <w:jc w:val="left"/>
              <w:rPr>
                <w:lang w:val="en-US"/>
              </w:rPr>
            </w:pPr>
            <w:r>
              <w:rPr>
                <w:lang w:val="en-US"/>
              </w:rPr>
              <w:t>Temporary air store, tracheal gills, gills Spiracular gills, atmospheric breathers, plant breathers, functional spiracles, air (plants), aerial, plastron/spiracle</w:t>
            </w:r>
          </w:p>
          <w:p>
            <w:pPr>
              <w:pStyle w:val="Normal"/>
              <w:spacing w:lineRule="auto" w:line="259" w:before="0" w:after="0"/>
              <w:ind w:left="0" w:right="0" w:hanging="0"/>
              <w:jc w:val="left"/>
              <w:rPr/>
            </w:pPr>
            <w:r>
              <w:rPr/>
              <w:t>Cutaneous, tegument</w:t>
            </w:r>
          </w:p>
        </w:tc>
      </w:tr>
      <w:tr>
        <w:trPr>
          <w:trHeight w:val="1056" w:hRule="atLeast"/>
        </w:trPr>
        <w:tc>
          <w:tcPr>
            <w:tcW w:w="1830" w:type="dxa"/>
            <w:tcBorders>
              <w:top w:val="single" w:sz="4" w:space="0" w:color="000000"/>
              <w:bottom w:val="single" w:sz="4" w:space="0" w:color="000000"/>
              <w:insideH w:val="single" w:sz="4" w:space="0" w:color="000000"/>
            </w:tcBorders>
            <w:shd w:fill="auto" w:val="clear"/>
            <w:vAlign w:val="center"/>
          </w:tcPr>
          <w:p>
            <w:pPr>
              <w:pStyle w:val="Normal"/>
              <w:spacing w:lineRule="auto" w:line="259" w:before="0" w:after="0"/>
              <w:ind w:left="113" w:right="0" w:hanging="0"/>
              <w:jc w:val="left"/>
              <w:rPr/>
            </w:pPr>
            <w:r>
              <w:rPr/>
              <w:t>Locomotion</w:t>
            </w:r>
          </w:p>
        </w:tc>
        <w:tc>
          <w:tcPr>
            <w:tcW w:w="1747"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pPr>
            <w:r>
              <w:rPr/>
              <w:t>Burrower</w:t>
            </w:r>
          </w:p>
          <w:p>
            <w:pPr>
              <w:pStyle w:val="Normal"/>
              <w:spacing w:lineRule="auto" w:line="259" w:before="0" w:after="0"/>
              <w:ind w:left="0" w:right="0" w:hanging="0"/>
              <w:jc w:val="left"/>
              <w:rPr/>
            </w:pPr>
            <w:r>
              <w:rPr/>
              <w:t>Crawler</w:t>
            </w:r>
          </w:p>
          <w:p>
            <w:pPr>
              <w:pStyle w:val="Normal"/>
              <w:spacing w:lineRule="auto" w:line="259" w:before="0" w:after="0"/>
              <w:ind w:left="0" w:right="0" w:hanging="0"/>
              <w:jc w:val="left"/>
              <w:rPr/>
            </w:pPr>
            <w:r>
              <w:rPr/>
              <w:t>Sessil</w:t>
            </w:r>
          </w:p>
          <w:p>
            <w:pPr>
              <w:pStyle w:val="Normal"/>
              <w:spacing w:lineRule="auto" w:line="259" w:before="0" w:after="0"/>
              <w:ind w:left="0" w:right="0" w:hanging="0"/>
              <w:jc w:val="left"/>
              <w:rPr/>
            </w:pPr>
            <w:r>
              <w:rPr/>
              <w:t>Swimmer</w:t>
            </w:r>
          </w:p>
        </w:tc>
        <w:tc>
          <w:tcPr>
            <w:tcW w:w="3872" w:type="dxa"/>
            <w:tcBorders>
              <w:top w:val="single" w:sz="4" w:space="0" w:color="000000"/>
              <w:bottom w:val="single" w:sz="4" w:space="0" w:color="000000"/>
              <w:insideH w:val="single" w:sz="4" w:space="0" w:color="000000"/>
            </w:tcBorders>
            <w:shd w:fill="auto" w:val="clear"/>
          </w:tcPr>
          <w:p>
            <w:pPr>
              <w:pStyle w:val="Normal"/>
              <w:spacing w:lineRule="auto" w:line="259" w:before="0" w:after="0"/>
              <w:ind w:left="0" w:right="0" w:hanging="0"/>
              <w:jc w:val="left"/>
              <w:rPr>
                <w:lang w:val="en-US"/>
              </w:rPr>
            </w:pPr>
            <w:r>
              <w:rPr>
                <w:lang w:val="en-US"/>
              </w:rPr>
              <w:t>Interstitial, boring, burrowing</w:t>
            </w:r>
          </w:p>
          <w:p>
            <w:pPr>
              <w:pStyle w:val="Normal"/>
              <w:spacing w:lineRule="auto" w:line="259" w:before="0" w:after="0"/>
              <w:ind w:left="0" w:right="0" w:hanging="0"/>
              <w:jc w:val="left"/>
              <w:rPr>
                <w:lang w:val="en-US"/>
              </w:rPr>
            </w:pPr>
            <w:r>
              <w:rPr>
                <w:lang w:val="en-US"/>
              </w:rPr>
              <w:t>Sprawler, walking, climber, clinger, crawler</w:t>
            </w:r>
          </w:p>
          <w:p>
            <w:pPr>
              <w:pStyle w:val="Normal"/>
              <w:spacing w:lineRule="auto" w:line="259" w:before="0" w:after="0"/>
              <w:ind w:left="0" w:right="0" w:hanging="0"/>
              <w:jc w:val="left"/>
              <w:rPr>
                <w:lang w:val="en-US"/>
              </w:rPr>
            </w:pPr>
            <w:r>
              <w:rPr>
                <w:lang w:val="en-US"/>
              </w:rPr>
              <w:t>Attached, sessil</w:t>
            </w:r>
          </w:p>
          <w:p>
            <w:pPr>
              <w:pStyle w:val="Normal"/>
              <w:spacing w:lineRule="auto" w:line="259" w:before="0" w:after="0"/>
              <w:ind w:left="0" w:right="0" w:hanging="0"/>
              <w:jc w:val="left"/>
              <w:rPr>
                <w:lang w:val="en-US"/>
              </w:rPr>
            </w:pPr>
            <w:r>
              <w:rPr>
                <w:lang w:val="en-US"/>
              </w:rPr>
              <w:t>Skating, diving, planctonic, swimming</w:t>
            </w:r>
          </w:p>
        </w:tc>
      </w:tr>
      <w:tr>
        <w:trPr>
          <w:trHeight w:val="2456" w:hRule="atLeast"/>
        </w:trPr>
        <w:tc>
          <w:tcPr>
            <w:tcW w:w="1830" w:type="dxa"/>
            <w:tcBorders>
              <w:top w:val="single" w:sz="4" w:space="0" w:color="000000"/>
              <w:bottom w:val="single" w:sz="2" w:space="0" w:color="000000"/>
              <w:insideH w:val="single" w:sz="2" w:space="0" w:color="000000"/>
            </w:tcBorders>
            <w:shd w:fill="auto" w:val="clear"/>
            <w:vAlign w:val="center"/>
          </w:tcPr>
          <w:p>
            <w:pPr>
              <w:pStyle w:val="Normal"/>
              <w:spacing w:lineRule="auto" w:line="259" w:before="0" w:after="0"/>
              <w:ind w:left="113" w:right="0" w:hanging="0"/>
              <w:jc w:val="left"/>
              <w:rPr/>
            </w:pPr>
            <w:r>
              <w:rPr/>
              <w:t>Feeding mode</w:t>
            </w:r>
          </w:p>
        </w:tc>
        <w:tc>
          <w:tcPr>
            <w:tcW w:w="1747" w:type="dxa"/>
            <w:tcBorders>
              <w:top w:val="single" w:sz="4" w:space="0" w:color="000000"/>
              <w:bottom w:val="single" w:sz="2" w:space="0" w:color="000000"/>
              <w:insideH w:val="single" w:sz="2" w:space="0" w:color="000000"/>
            </w:tcBorders>
            <w:shd w:fill="auto" w:val="clear"/>
          </w:tcPr>
          <w:p>
            <w:pPr>
              <w:pStyle w:val="Normal"/>
              <w:spacing w:lineRule="auto" w:line="259" w:before="0" w:after="224"/>
              <w:ind w:left="0" w:right="0" w:hanging="0"/>
              <w:jc w:val="left"/>
              <w:rPr/>
            </w:pPr>
            <w:r>
              <w:rPr/>
              <w:t>Filterer</w:t>
            </w:r>
          </w:p>
          <w:p>
            <w:pPr>
              <w:pStyle w:val="Normal"/>
              <w:spacing w:lineRule="auto" w:line="259" w:before="0" w:after="224"/>
              <w:ind w:left="0" w:right="0" w:hanging="0"/>
              <w:jc w:val="left"/>
              <w:rPr/>
            </w:pPr>
            <w:r>
              <w:rPr/>
              <w:t>Gatherer</w:t>
            </w:r>
          </w:p>
          <w:p>
            <w:pPr>
              <w:pStyle w:val="Normal"/>
              <w:spacing w:lineRule="auto" w:line="259" w:before="0" w:after="224"/>
              <w:ind w:left="0" w:right="0" w:hanging="0"/>
              <w:jc w:val="left"/>
              <w:rPr/>
            </w:pPr>
            <w:r>
              <w:rPr/>
              <w:t>Herbivore</w:t>
            </w:r>
          </w:p>
          <w:p>
            <w:pPr>
              <w:pStyle w:val="Normal"/>
              <w:spacing w:lineRule="auto" w:line="259" w:before="0" w:after="0"/>
              <w:ind w:left="0" w:right="0" w:hanging="0"/>
              <w:jc w:val="left"/>
              <w:rPr/>
            </w:pPr>
            <w:r>
              <w:rPr/>
              <w:t>Parasite</w:t>
            </w:r>
          </w:p>
          <w:p>
            <w:pPr>
              <w:pStyle w:val="Normal"/>
              <w:spacing w:lineRule="auto" w:line="259" w:before="0" w:after="0"/>
              <w:ind w:left="0" w:right="0" w:hanging="0"/>
              <w:jc w:val="left"/>
              <w:rPr/>
            </w:pPr>
            <w:r>
              <w:rPr/>
              <w:t>Predator</w:t>
            </w:r>
          </w:p>
          <w:p>
            <w:pPr>
              <w:pStyle w:val="Normal"/>
              <w:spacing w:lineRule="auto" w:line="259" w:before="0" w:after="0"/>
              <w:ind w:left="0" w:right="0" w:hanging="0"/>
              <w:jc w:val="left"/>
              <w:rPr/>
            </w:pPr>
            <w:r>
              <w:rPr/>
              <w:t>Shredder</w:t>
            </w:r>
          </w:p>
        </w:tc>
        <w:tc>
          <w:tcPr>
            <w:tcW w:w="3872" w:type="dxa"/>
            <w:tcBorders>
              <w:top w:val="single" w:sz="4" w:space="0" w:color="000000"/>
              <w:bottom w:val="single" w:sz="2" w:space="0" w:color="000000"/>
              <w:insideH w:val="single" w:sz="2" w:space="0" w:color="000000"/>
            </w:tcBorders>
            <w:shd w:fill="auto" w:val="clear"/>
          </w:tcPr>
          <w:p>
            <w:pPr>
              <w:pStyle w:val="Normal"/>
              <w:spacing w:lineRule="auto" w:line="240" w:before="0" w:after="0"/>
              <w:ind w:left="0" w:right="0" w:hanging="0"/>
              <w:jc w:val="left"/>
              <w:rPr>
                <w:lang w:val="en-US"/>
              </w:rPr>
            </w:pPr>
            <w:r>
              <w:rPr>
                <w:lang w:val="en-US"/>
              </w:rPr>
              <w:t>Active/passive filterer, absorber, filter-feeder, collector-filterer, filterer Deposit-feeder, collector-gatherer, detrivore, gatherer</w:t>
            </w:r>
          </w:p>
          <w:p>
            <w:pPr>
              <w:pStyle w:val="Normal"/>
              <w:spacing w:lineRule="auto" w:line="235" w:before="0" w:after="289"/>
              <w:ind w:left="0" w:right="0" w:hanging="0"/>
              <w:jc w:val="left"/>
              <w:rPr>
                <w:lang w:val="en-US"/>
              </w:rPr>
            </w:pPr>
            <w:r>
              <w:rPr>
                <w:lang w:val="en-US"/>
              </w:rPr>
              <w:t>Grazer, scraper, piercer herbivore, herbivore, algal piercer, piercer (plants)</w:t>
            </w:r>
            <w:r>
              <w:rPr>
                <w:i/>
                <w:vertAlign w:val="superscript"/>
                <w:lang w:val="en-US"/>
              </w:rPr>
              <w:t>a</w:t>
            </w:r>
          </w:p>
          <w:p>
            <w:pPr>
              <w:pStyle w:val="Normal"/>
              <w:spacing w:lineRule="auto" w:line="259" w:before="0" w:after="0"/>
              <w:ind w:left="0" w:right="715" w:hanging="0"/>
              <w:jc w:val="left"/>
              <w:rPr/>
            </w:pPr>
            <w:r>
              <w:rPr/>
              <w:t>Piercer (animals)</w:t>
            </w:r>
            <w:r>
              <w:rPr>
                <w:i/>
                <w:vertAlign w:val="superscript"/>
              </w:rPr>
              <w:t>a</w:t>
            </w:r>
            <w:r>
              <w:rPr/>
              <w:t>, predator Miner, xylophagus, shredder, shredder detrivore</w:t>
            </w:r>
          </w:p>
        </w:tc>
      </w:tr>
      <w:tr>
        <w:trPr>
          <w:trHeight w:val="1005" w:hRule="atLeast"/>
        </w:trPr>
        <w:tc>
          <w:tcPr>
            <w:tcW w:w="1830" w:type="dxa"/>
            <w:tcBorders>
              <w:top w:val="single" w:sz="2" w:space="0" w:color="000000"/>
              <w:bottom w:val="single" w:sz="8" w:space="0" w:color="000000"/>
              <w:insideH w:val="single" w:sz="8" w:space="0" w:color="000000"/>
            </w:tcBorders>
            <w:shd w:fill="auto" w:val="clear"/>
            <w:vAlign w:val="center"/>
          </w:tcPr>
          <w:p>
            <w:pPr>
              <w:pStyle w:val="Normal"/>
              <w:spacing w:lineRule="auto" w:line="259" w:before="0" w:after="0"/>
              <w:ind w:left="113" w:right="0" w:hanging="0"/>
              <w:jc w:val="left"/>
              <w:rPr/>
            </w:pPr>
            <w:r>
              <w:rPr/>
              <w:t>Oviposition</w:t>
            </w:r>
          </w:p>
        </w:tc>
        <w:tc>
          <w:tcPr>
            <w:tcW w:w="1747" w:type="dxa"/>
            <w:tcBorders>
              <w:top w:val="single" w:sz="2" w:space="0" w:color="000000"/>
              <w:bottom w:val="single" w:sz="8" w:space="0" w:color="000000"/>
              <w:insideH w:val="single" w:sz="8" w:space="0" w:color="000000"/>
            </w:tcBorders>
            <w:shd w:fill="auto" w:val="clear"/>
          </w:tcPr>
          <w:p>
            <w:pPr>
              <w:pStyle w:val="Normal"/>
              <w:spacing w:lineRule="auto" w:line="259" w:before="0" w:after="224"/>
              <w:ind w:left="0" w:right="0" w:hanging="0"/>
              <w:jc w:val="left"/>
              <w:rPr>
                <w:lang w:val="en-US"/>
              </w:rPr>
            </w:pPr>
            <w:r>
              <w:rPr>
                <w:lang w:val="en-US"/>
              </w:rPr>
              <w:t>Aquatic eggs</w:t>
            </w:r>
          </w:p>
          <w:p>
            <w:pPr>
              <w:pStyle w:val="Normal"/>
              <w:spacing w:lineRule="auto" w:line="259" w:before="0" w:after="0"/>
              <w:ind w:left="0" w:right="0" w:hanging="0"/>
              <w:jc w:val="left"/>
              <w:rPr>
                <w:lang w:val="en-US"/>
              </w:rPr>
            </w:pPr>
            <w:r>
              <w:rPr>
                <w:lang w:val="en-US"/>
              </w:rPr>
              <w:t>Ovoviviparity</w:t>
            </w:r>
          </w:p>
          <w:p>
            <w:pPr>
              <w:pStyle w:val="Normal"/>
              <w:spacing w:lineRule="auto" w:line="259" w:before="0" w:after="0"/>
              <w:ind w:left="0" w:right="0" w:hanging="0"/>
              <w:jc w:val="left"/>
              <w:rPr>
                <w:lang w:val="en-US"/>
              </w:rPr>
            </w:pPr>
            <w:r>
              <w:rPr>
                <w:lang w:val="en-US"/>
              </w:rPr>
              <w:t>Terrestrial eggs</w:t>
            </w:r>
          </w:p>
        </w:tc>
        <w:tc>
          <w:tcPr>
            <w:tcW w:w="3872" w:type="dxa"/>
            <w:tcBorders>
              <w:top w:val="single" w:sz="2" w:space="0" w:color="000000"/>
              <w:bottom w:val="single" w:sz="8" w:space="0" w:color="000000"/>
              <w:insideH w:val="single" w:sz="8" w:space="0" w:color="000000"/>
            </w:tcBorders>
            <w:shd w:fill="auto" w:val="clear"/>
          </w:tcPr>
          <w:p>
            <w:pPr>
              <w:pStyle w:val="Normal"/>
              <w:spacing w:lineRule="auto" w:line="240" w:before="0" w:after="239"/>
              <w:ind w:left="0" w:right="0" w:hanging="0"/>
              <w:jc w:val="left"/>
              <w:rPr>
                <w:lang w:val="en-US"/>
              </w:rPr>
            </w:pPr>
            <w:r>
              <w:rPr>
                <w:lang w:val="en-US"/>
              </w:rPr>
              <w:t>Eggs attached to substrate/plants/stones, free/fixed eggs/clutches</w:t>
            </w:r>
          </w:p>
          <w:p>
            <w:pPr>
              <w:pStyle w:val="Normal"/>
              <w:spacing w:lineRule="auto" w:line="259" w:before="0" w:after="0"/>
              <w:ind w:left="0" w:right="0" w:hanging="0"/>
              <w:jc w:val="left"/>
              <w:rPr/>
            </w:pPr>
            <w:r>
              <w:rPr/>
              <w:t>Terrestrial clutches, terrestrial</w:t>
            </w:r>
          </w:p>
        </w:tc>
      </w:tr>
    </w:tbl>
    <w:p>
      <w:pPr>
        <w:pStyle w:val="Normal"/>
        <w:spacing w:lineRule="auto" w:line="252" w:before="0" w:after="0"/>
        <w:ind w:left="299" w:right="0" w:hanging="0"/>
        <w:rPr>
          <w:i/>
          <w:i/>
          <w:sz w:val="18"/>
          <w:lang w:val="en-US"/>
        </w:rPr>
      </w:pPr>
      <w:r>
        <w:rPr>
          <w:i/>
          <w:sz w:val="18"/>
          <w:lang w:val="en-US"/>
        </w:rPr>
      </w:r>
    </w:p>
    <w:p>
      <w:pPr>
        <w:pStyle w:val="Normal"/>
        <w:spacing w:lineRule="auto" w:line="252" w:before="0" w:after="0"/>
        <w:ind w:left="299" w:right="0" w:hanging="0"/>
        <w:rPr>
          <w:lang w:val="en-US"/>
        </w:rPr>
      </w:pPr>
      <w:r>
        <w:rPr>
          <w:i/>
          <w:sz w:val="18"/>
          <w:lang w:val="en-US"/>
        </w:rPr>
        <w:t xml:space="preserve">a </w:t>
      </w:r>
      <w:r>
        <w:rPr>
          <w:sz w:val="18"/>
          <w:lang w:val="en-US"/>
        </w:rPr>
        <w:t>The trait piercer was defined in the Tachet database for piercing plants and animals, in contrast to the other databases [12]. Taxa exhibiting this trait have been assigned to predators or herbivores based on expert knowledge [31].</w:t>
      </w:r>
    </w:p>
    <w:p>
      <w:pPr>
        <w:pStyle w:val="Berschrift2"/>
        <w:ind w:left="-5" w:right="299" w:hanging="10"/>
        <w:rPr>
          <w:lang w:val="en-US"/>
        </w:rPr>
      </w:pPr>
      <w:r>
        <w:rPr>
          <w:lang w:val="en-US"/>
        </w:rPr>
      </w:r>
    </w:p>
    <w:p>
      <w:pPr>
        <w:pStyle w:val="Berschrift2"/>
        <w:ind w:left="-5" w:right="299" w:hanging="10"/>
        <w:rPr>
          <w:lang w:val="en-US"/>
        </w:rPr>
      </w:pPr>
      <w:r>
        <w:rPr>
          <w:lang w:val="en-US"/>
        </w:rPr>
        <w:t>Trait aggregation</w:t>
      </w:r>
    </w:p>
    <w:p>
      <w:pPr>
        <w:pStyle w:val="Normal"/>
        <w:spacing w:before="0" w:after="306"/>
        <w:ind w:left="-5" w:right="284" w:hanging="10"/>
        <w:rPr/>
      </w:pPr>
      <w:r>
        <mc:AlternateContent>
          <mc:Choice Requires="wpg">
            <w:drawing>
              <wp:anchor behindDoc="1" distT="0" distB="0" distL="114300" distR="114300" simplePos="0" locked="0" layoutInCell="1" allowOverlap="1" relativeHeight="2" wp14:anchorId="22CBF2BE">
                <wp:simplePos x="0" y="0"/>
                <wp:positionH relativeFrom="column">
                  <wp:posOffset>1539875</wp:posOffset>
                </wp:positionH>
                <wp:positionV relativeFrom="paragraph">
                  <wp:posOffset>844550</wp:posOffset>
                </wp:positionV>
                <wp:extent cx="96520" cy="153670"/>
                <wp:effectExtent l="0" t="0" r="0" b="0"/>
                <wp:wrapNone/>
                <wp:docPr id="1" name="Group 24763"/>
                <a:graphic xmlns:a="http://schemas.openxmlformats.org/drawingml/2006/main">
                  <a:graphicData uri="http://schemas.microsoft.com/office/word/2010/wordprocessingGroup">
                    <wpg:wgp>
                      <wpg:cNvGrpSpPr/>
                      <wpg:grpSpPr>
                        <a:xfrm>
                          <a:off x="0" y="0"/>
                          <a:ext cx="95760" cy="153000"/>
                        </a:xfrm>
                      </wpg:grpSpPr>
                      <wps:wsp>
                        <wps:cNvSpPr/>
                        <wps:spPr>
                          <a:xfrm>
                            <a:off x="57960" y="0"/>
                            <a:ext cx="38160" cy="72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s:wsp>
                        <wps:cNvSpPr/>
                        <wps:spPr>
                          <a:xfrm>
                            <a:off x="0" y="152280"/>
                            <a:ext cx="38160" cy="72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anchor>
            </w:drawing>
          </mc:Choice>
          <mc:Fallback>
            <w:pict>
              <v:group id="shape_0" alt="Group 24763" style="position:absolute;margin-left:121.25pt;margin-top:66.5pt;width:7.55pt;height:12.05pt" coordorigin="2425,1330" coordsize="151,241"/>
            </w:pict>
          </mc:Fallback>
        </mc:AlternateContent>
      </w:r>
      <w:r>
        <w:rPr>
          <w:lang w:val="en-US"/>
        </w:rPr>
        <w:t xml:space="preserve">Traits of the harmonized grouping feature datasets were aggregated to family-level using three approaches. I) direct aggregation of taxa to family-level giving equal weight to every species using the mean or median, denoted </w:t>
      </w:r>
      <w:r>
        <w:rPr>
          <w:i/>
          <w:lang w:val="en-US"/>
        </w:rPr>
        <w:t>direct_agg</w:t>
      </w:r>
      <w:r>
        <w:rPr>
          <w:i/>
          <w:vertAlign w:val="subscript"/>
          <w:lang w:val="en-US"/>
        </w:rPr>
        <w:t xml:space="preserve">mean </w:t>
      </w:r>
      <w:r>
        <w:rPr>
          <w:lang w:val="en-US"/>
        </w:rPr>
        <w:t xml:space="preserve">and </w:t>
      </w:r>
      <w:r>
        <w:rPr>
          <w:i/>
          <w:lang w:val="en-US"/>
        </w:rPr>
        <w:t>direct_agg</w:t>
      </w:r>
      <w:r>
        <w:rPr>
          <w:i/>
          <w:vertAlign w:val="subscript"/>
          <w:lang w:val="en-US"/>
        </w:rPr>
        <w:t>median</w:t>
      </w:r>
      <w:r>
        <w:rPr>
          <w:lang w:val="en-US"/>
        </w:rPr>
        <w:t xml:space="preserve">, respectively. II) stepwise aggregation, i.e. first to the genus-level and subsequently to the family-level using the mean or median. This approach gives equal weights to each genus. Hereafter, we denote this aggregation type as </w:t>
      </w:r>
      <w:r>
        <w:rPr>
          <w:i/>
          <w:lang w:val="en-US"/>
        </w:rPr>
        <w:t>stepwise_agg</w:t>
      </w:r>
      <w:r>
        <w:rPr>
          <w:i/>
          <w:vertAlign w:val="subscript"/>
          <w:lang w:val="en-US"/>
        </w:rPr>
        <w:t xml:space="preserve">mean </w:t>
      </w:r>
      <w:r>
        <w:rPr>
          <w:lang w:val="en-US"/>
        </w:rPr>
        <w:t xml:space="preserve">or </w:t>
      </w:r>
      <w:r>
        <w:rPr>
          <w:i/>
          <w:lang w:val="en-US"/>
        </w:rPr>
        <w:t>stepwise_agg</w:t>
      </w:r>
      <w:r>
        <w:rPr>
          <w:i/>
          <w:vertAlign w:val="subscript"/>
          <w:lang w:val="en-US"/>
        </w:rPr>
        <w:t>median</w:t>
      </w:r>
      <w:r>
        <w:rPr>
          <w:lang w:val="en-US"/>
        </w:rPr>
        <w:t xml:space="preserve">, respectively. III) aggregation using a weighted mean approach, denoted as </w:t>
      </w:r>
      <w:r>
        <w:rPr>
          <w:i/>
          <w:lang w:val="en-US"/>
        </w:rPr>
        <w:t>weighted_agg</w:t>
      </w:r>
      <w:r>
        <w:rPr>
          <w:lang w:val="en-US"/>
        </w:rPr>
        <w:t>. This method weights the genera according to the number of their species in the databases.</w:t>
      </w:r>
    </w:p>
    <w:p>
      <w:pPr>
        <w:pStyle w:val="Berschrift2"/>
        <w:spacing w:before="0" w:after="111"/>
        <w:ind w:left="-5" w:right="299" w:hanging="10"/>
        <w:rPr>
          <w:lang w:val="en-US"/>
        </w:rPr>
      </w:pPr>
      <w:r>
        <w:rPr>
          <w:lang w:val="en-US"/>
        </w:rPr>
        <w:t>Comparison of aggregated traits with traits assigned by experts</w:t>
      </w:r>
    </w:p>
    <w:p>
      <w:pPr>
        <w:pStyle w:val="Normal"/>
        <w:ind w:left="-5" w:right="284" w:hanging="10"/>
        <w:rPr/>
      </w:pPr>
      <w:r>
        <w:rPr>
          <w:lang w:val="en-US"/>
        </w:rPr>
        <w:t>Aggregated trait affinities of the five trait aggregation methods (</w:t>
      </w:r>
      <w:r>
        <w:rPr>
          <w:i/>
          <w:lang w:val="en-US"/>
        </w:rPr>
        <w:t>direct_agg</w:t>
      </w:r>
      <w:r>
        <w:rPr>
          <w:i/>
          <w:vertAlign w:val="subscript"/>
          <w:lang w:val="en-US"/>
        </w:rPr>
        <w:t>median</w:t>
      </w:r>
      <w:r>
        <w:rPr>
          <w:lang w:val="en-US"/>
        </w:rPr>
        <w:t xml:space="preserve">, </w:t>
      </w:r>
      <w:r>
        <w:rPr>
          <w:i/>
          <w:lang w:val="en-US"/>
        </w:rPr>
        <w:t>direct_agg</w:t>
      </w:r>
      <w:r>
        <w:rPr>
          <w:i/>
          <w:vertAlign w:val="subscript"/>
          <w:lang w:val="en-US"/>
        </w:rPr>
        <w:t>mean</w:t>
      </w:r>
      <w:r>
        <w:rPr>
          <w:lang w:val="en-US"/>
        </w:rPr>
        <w:t xml:space="preserve">, </w:t>
      </w:r>
      <w:r>
        <w:rPr>
          <w:i/>
          <w:lang w:val="en-US"/>
        </w:rPr>
        <w:t>stepwise_agg</w:t>
      </w:r>
      <w:r>
        <w:rPr>
          <w:i/>
          <w:vertAlign w:val="subscript"/>
          <w:lang w:val="en-US"/>
        </w:rPr>
        <w:t>median</w:t>
      </w:r>
      <w:r>
        <w:rPr>
          <w:lang w:val="en-US"/>
        </w:rPr>
        <w:t xml:space="preserve">, </w:t>
      </w:r>
      <w:r>
        <w:rPr>
          <w:i/>
          <w:lang w:val="en-US"/>
        </w:rPr>
        <w:t>stepwise</w:t>
      </w:r>
      <w:r>
        <w:rPr>
          <w:i/>
          <w:lang w:val="en-US"/>
        </w:rPr>
        <mc:AlternateContent>
          <mc:Choice Requires="wpg">
            <w:drawing>
              <wp:inline distT="0" distB="0" distL="0" distR="0" wp14:anchorId="0BD76B17">
                <wp:extent cx="40640" cy="6985"/>
                <wp:effectExtent l="0" t="0" r="0" b="0"/>
                <wp:docPr id="2" name=""/>
                <a:graphic xmlns:a="http://schemas.openxmlformats.org/drawingml/2006/main">
                  <a:graphicData uri="http://schemas.microsoft.com/office/word/2010/wordprocessingGroup">
                    <wpg:wgp>
                      <wpg:cNvGrpSpPr/>
                      <wpg:grpSpPr>
                        <a:xfrm>
                          <a:off x="0" y="0"/>
                          <a:ext cx="39960" cy="6480"/>
                        </a:xfrm>
                      </wpg:grpSpPr>
                      <wps:wsp>
                        <wps:cNvSpPr/>
                        <wps:spPr>
                          <a:xfrm>
                            <a:off x="0" y="0"/>
                            <a:ext cx="39960" cy="648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55pt;width:3.15pt;height:0.5pt" coordorigin="0,-11" coordsize="63,10"/>
            </w:pict>
          </mc:Fallback>
        </mc:AlternateContent>
      </w:r>
      <w:r>
        <w:rPr>
          <w:i/>
          <w:lang w:val="en-US"/>
        </w:rPr>
        <w:t>agg</w:t>
      </w:r>
      <w:r>
        <w:rPr>
          <w:i/>
          <w:vertAlign w:val="subscript"/>
          <w:lang w:val="en-US"/>
        </w:rPr>
        <w:t>mean</w:t>
      </w:r>
      <w:r>
        <w:rPr>
          <w:lang w:val="en-US"/>
        </w:rPr>
        <w:t xml:space="preserve">, and </w:t>
      </w:r>
      <w:r>
        <w:rPr>
          <w:i/>
          <w:lang w:val="en-US"/>
        </w:rPr>
        <w:t>weighted_agg</w:t>
      </w:r>
      <w:r>
        <w:rPr>
          <w:lang w:val="en-US"/>
        </w:rPr>
        <w:t xml:space="preserve">) were compared to trait affinities assigned at family-level by experts, which were available for the Australian and North American database for a subset of grouping features and taxa. For the Australian database, we compared aggregated trait affinities with assigned trait affinities resolved at family-level for the grouping features feeding mode and size using data from Chessman et al. </w:t>
      </w:r>
      <w:r>
        <w:rPr/>
        <w:t xml:space="preserve">[32]. </w:t>
      </w:r>
      <w:r>
        <w:rPr>
          <w:lang w:val="en-US"/>
        </w:rPr>
        <w:t xml:space="preserve">In Chessman et al. [32] feeding mode is classified similarly as in the harmonized Australian database except that the trait parasite is missing. We conducted the comparison for the 220 families available in Chessman et al. </w:t>
      </w:r>
      <w:r>
        <w:rPr/>
        <w:t xml:space="preserve">[32]. </w:t>
      </w:r>
      <w:r>
        <w:rPr>
          <w:lang w:val="en-US"/>
        </w:rPr>
        <w:t>Considering each factor combination of family and trait (in total 8) this amounts to 1760 cases.</w:t>
      </w:r>
    </w:p>
    <w:p>
      <w:pPr>
        <w:pStyle w:val="Normal"/>
        <w:ind w:left="-15" w:right="284" w:firstLine="299"/>
        <w:rPr/>
      </w:pPr>
      <w:r>
        <w:rPr>
          <w:lang w:val="en-US"/>
        </w:rPr>
        <w:t>For the North American database, we compared aggregated trait affinities with assigned trait affinities on family-level for the grouping features feeding mode, respiration, size, voltinism, and locomotion. The assigned trait affinities at family-level are part of the North American database [29] and originate from expert knowledge. Trait information was available for 94 families of which all were present in the aggregated North American database (total number of cases 1598). The traits were on the categorical scale and were converted to binary traits prior to the comparison with aggregated trait affinities.</w:t>
      </w:r>
    </w:p>
    <w:p>
      <w:pPr>
        <w:pStyle w:val="Normal"/>
        <w:spacing w:before="0" w:after="309"/>
        <w:ind w:left="-15" w:right="284" w:firstLine="299"/>
        <w:rPr>
          <w:lang w:val="en-US"/>
        </w:rPr>
      </w:pPr>
      <w:r>
        <w:rPr>
          <w:lang w:val="en-US"/>
        </w:rPr>
        <w:t>As mentioned above, trait affinities ranged from 0 to 1. Hence, the maximum difference possible in trait affinities is 1 or -1 (corresponds to 100 %). For convenience and to improve interpretation, we report absolute trait differences.</w:t>
      </w:r>
    </w:p>
    <w:p>
      <w:pPr>
        <w:pStyle w:val="Berschrift2"/>
        <w:ind w:left="-5" w:right="299" w:hanging="10"/>
        <w:rPr>
          <w:lang w:val="en-US"/>
        </w:rPr>
      </w:pPr>
      <w:r>
        <w:rPr>
          <w:lang w:val="en-US"/>
        </w:rPr>
        <w:t>Analysis of the effect of harmonization and trait aggregation on traitenvironment relationships</w:t>
      </w:r>
    </w:p>
    <w:p>
      <w:pPr>
        <w:pStyle w:val="Normal"/>
        <w:ind w:left="-5" w:right="284" w:hanging="10"/>
        <w:rPr/>
      </w:pPr>
      <w:r>
        <w:rPr>
          <w:lang w:val="en-US"/>
        </w:rPr>
        <w:t xml:space="preserve">We repeated the analysis in Szöcs et al. </w:t>
      </w:r>
      <w:r>
        <w:rPr/>
        <w:t xml:space="preserve">[9] who studied the effect of anthropogenic salinization on invertebrates in the River Werra in Germany. </w:t>
      </w:r>
      <w:r>
        <w:rPr>
          <w:lang w:val="en-US"/>
        </w:rPr>
        <w:t>As a case study, we used for the re-analysis the established harmonized grouping features for Europe and additionally aggregated traits using the aforementioned aggregation methods.</w:t>
      </w:r>
    </w:p>
    <w:p>
      <w:pPr>
        <w:pStyle w:val="Normal"/>
        <w:ind w:left="-15" w:right="284" w:firstLine="299"/>
        <w:rPr/>
      </w:pPr>
      <w:r>
        <w:rPr>
          <w:lang w:val="en-US"/>
        </w:rPr>
        <w:t xml:space="preserve">The river has been subject to effluents from the potash industry since the mid of the 20th century and allows to study responses of invertebrates and their trait compositions to salinization. Sites downstream, upstream, and close to the salt discharge (transition) were compared regarding their trait composition. Further details can be found in </w:t>
      </w:r>
      <w:bookmarkStart w:id="0" w:name="__DdeLink__1487_753536654"/>
      <w:r>
        <w:rPr>
          <w:lang w:val="en-US"/>
        </w:rPr>
        <w:t>Szöcs et al.</w:t>
      </w:r>
      <w:bookmarkEnd w:id="0"/>
      <w:r>
        <w:rPr>
          <w:lang w:val="en-US"/>
        </w:rPr>
        <w:t xml:space="preserve"> [9]. We compared the species scores obtained from redundancy analysis (RDA) for traits constrained by electric conductivity from the original study to species scores when including harmonized grouping features. We used the same grouping features that Szöcs et al. </w:t>
      </w:r>
      <w:r>
        <w:rPr/>
        <w:t>[9] used, but 6 of them have been harmonized from the European</w:t>
      </w:r>
    </w:p>
    <w:p>
      <w:pPr>
        <w:pStyle w:val="Normal"/>
        <w:spacing w:lineRule="auto" w:line="259" w:before="0" w:after="294"/>
        <w:ind w:left="142" w:right="0" w:hanging="0"/>
        <w:jc w:val="left"/>
        <w:rPr/>
      </w:pPr>
      <w:r>
        <w:rPr/>
        <w:drawing>
          <wp:inline distT="0" distB="0" distL="0" distR="0">
            <wp:extent cx="5257800" cy="6343015"/>
            <wp:effectExtent l="0" t="0" r="0" b="0"/>
            <wp:docPr id="3" name="Picture 30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682" descr=""/>
                    <pic:cNvPicPr>
                      <a:picLocks noChangeAspect="1" noChangeArrowheads="1"/>
                    </pic:cNvPicPr>
                  </pic:nvPicPr>
                  <pic:blipFill>
                    <a:blip r:embed="rId2"/>
                    <a:stretch>
                      <a:fillRect/>
                    </a:stretch>
                  </pic:blipFill>
                  <pic:spPr bwMode="auto">
                    <a:xfrm>
                      <a:off x="0" y="0"/>
                      <a:ext cx="5257800" cy="6343015"/>
                    </a:xfrm>
                    <a:prstGeom prst="rect">
                      <a:avLst/>
                    </a:prstGeom>
                  </pic:spPr>
                </pic:pic>
              </a:graphicData>
            </a:graphic>
          </wp:inline>
        </w:drawing>
      </w:r>
    </w:p>
    <w:p>
      <w:pPr>
        <w:pStyle w:val="Normal"/>
        <w:ind w:left="-5" w:right="284" w:hanging="10"/>
        <w:rPr/>
      </w:pPr>
      <w:r>
        <w:rPr>
          <w:lang w:val="en-US"/>
        </w:rPr>
        <w:t>Figure 1: Data processing steps of the selected traits. Intermediate (gray) and main (orange) steps of data preparation are depicted. The dashed bottom box illustrates the different trait aggregation methods using a small made-up example (data in the upper left corner). Displayed are the aggregation methods (blue) and intermediate steps of the aggregation methods (purple). For the stepwise and weighted aggregation only results for one trait are displayed.</w:t>
      </w:r>
    </w:p>
    <w:p>
      <w:pPr>
        <w:pStyle w:val="Normal"/>
        <w:ind w:left="-5" w:right="284" w:hanging="1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ind w:left="-15" w:right="284" w:hanging="0"/>
        <w:rPr>
          <w:lang w:val="en-US"/>
        </w:rPr>
      </w:pPr>
      <w:r>
        <w:rPr>
          <w:lang w:val="en-US"/>
        </w:rPr>
      </w:r>
    </w:p>
    <w:p>
      <w:pPr>
        <w:pStyle w:val="Normal"/>
        <w:spacing w:before="0" w:after="308"/>
        <w:ind w:left="-5" w:right="284" w:hanging="10"/>
        <w:rPr/>
      </w:pPr>
      <w:r>
        <w:rPr>
          <w:lang w:val="en-US"/>
        </w:rPr>
        <w:t xml:space="preserve">harmonized grouping feature dataset for our analysis. The harmonized grouping features used were </w:t>
      </w:r>
      <w:r>
        <w:rPr>
          <w:i/>
          <w:lang w:val="en-US"/>
        </w:rPr>
        <w:t>Size, Feeding mode, Locomotion, Oviposition, Respiration</w:t>
      </w:r>
      <w:r>
        <w:rPr>
          <w:lang w:val="en-US"/>
        </w:rPr>
        <w:t xml:space="preserve">, and </w:t>
      </w:r>
      <w:r>
        <w:rPr>
          <w:i/>
          <w:lang w:val="en-US"/>
        </w:rPr>
        <w:t>Voltinism</w:t>
      </w:r>
      <w:r>
        <w:rPr>
          <w:lang w:val="en-US"/>
        </w:rPr>
        <w:t xml:space="preserve">. Traits of those grouping features responded strongly to salinity in the study of [9]. Additionally, for testing the effect of aggregated traits we assigned to each taxon in Szöcs et al. </w:t>
      </w:r>
      <w:r>
        <w:rPr/>
        <w:t>[9] the aggregated trait value for its corresponding family and repeated the RDA.</w:t>
      </w:r>
    </w:p>
    <w:p>
      <w:pPr>
        <w:pStyle w:val="Berschrift2"/>
        <w:ind w:left="-5" w:right="299" w:hanging="10"/>
        <w:rPr>
          <w:lang w:val="en-US"/>
        </w:rPr>
      </w:pPr>
      <w:r>
        <w:rPr>
          <w:lang w:val="en-US"/>
        </w:rPr>
        <w:t>Data analysis</w:t>
      </w:r>
    </w:p>
    <w:p>
      <w:pPr>
        <w:pStyle w:val="Normal"/>
        <w:ind w:left="-5" w:right="284" w:hanging="10"/>
        <w:rPr>
          <w:lang w:val="en-US"/>
        </w:rPr>
      </w:pPr>
      <w:r>
        <w:rPr>
          <w:lang w:val="en-US"/>
        </w:rPr>
        <w:t>The data processing and aforementioned analysis were carried out using R (Version 3.6.1). Raw data and the R code for data processing and grouping feature harmonization is located in the</w:t>
      </w:r>
    </w:p>
    <w:p>
      <w:pPr>
        <w:pStyle w:val="Normal"/>
        <w:ind w:left="-5" w:right="284" w:hanging="10"/>
        <w:rPr/>
      </w:pPr>
      <w:r>
        <w:rPr>
          <w:lang w:val="en-US"/>
        </w:rPr>
        <w:t xml:space="preserve">Github repository: </w:t>
      </w:r>
      <w:hyperlink r:id="rId3">
        <w:r>
          <w:rPr>
            <w:rStyle w:val="ListLabel10"/>
            <w:rFonts w:eastAsia="Calibri" w:cs="Calibri" w:ascii="Calibri" w:hAnsi="Calibri"/>
            <w:lang w:val="en-US"/>
          </w:rPr>
          <w:t>https://github.com/KunzstLD/Invertebrate_traits</w:t>
        </w:r>
      </w:hyperlink>
      <w:hyperlink r:id="rId4">
        <w:r>
          <w:rPr>
            <w:rStyle w:val="ListLabel11"/>
            <w:lang w:val="en-US"/>
          </w:rPr>
          <w:t>.</w:t>
        </w:r>
      </w:hyperlink>
      <w:r>
        <w:rPr>
          <w:lang w:val="en-US"/>
        </w:rPr>
        <w:t xml:space="preserve"> </w:t>
      </w:r>
      <w:r>
        <w:rPr/>
        <w:t xml:space="preserve">Scripts and data to reproduce the trait aggregation and analysis with aggregated traits are located in the Github repository </w:t>
      </w:r>
      <w:hyperlink r:id="rId5">
        <w:r>
          <w:rPr>
            <w:rStyle w:val="ListLabel12"/>
            <w:rFonts w:eastAsia="Calibri" w:cs="Calibri" w:ascii="Calibri" w:hAnsi="Calibri"/>
          </w:rPr>
          <w:t>https://github.com/KunzstLD/Trait-aggregation</w:t>
        </w:r>
      </w:hyperlink>
      <w:hyperlink r:id="rId6">
        <w:r>
          <w:rPr>
            <w:rStyle w:val="ListLabel13"/>
          </w:rPr>
          <w:t>.</w:t>
        </w:r>
      </w:hyperlink>
      <w:r>
        <w:br w:type="page"/>
      </w:r>
    </w:p>
    <w:p>
      <w:pPr>
        <w:pStyle w:val="Berschrift1"/>
        <w:ind w:left="-5" w:right="299" w:hanging="10"/>
        <w:rPr>
          <w:lang w:val="en-US"/>
        </w:rPr>
      </w:pPr>
      <w:r>
        <w:rPr>
          <w:lang w:val="en-US"/>
        </w:rPr>
      </w:r>
    </w:p>
    <w:p>
      <w:pPr>
        <w:pStyle w:val="Berschrift1"/>
        <w:ind w:left="-5" w:right="299" w:hanging="10"/>
        <w:rPr>
          <w:lang w:val="en-US"/>
        </w:rPr>
      </w:pPr>
      <w:r>
        <w:rPr>
          <w:lang w:val="en-US"/>
        </w:rPr>
        <w:t>Results</w:t>
      </w:r>
    </w:p>
    <w:p>
      <w:pPr>
        <w:pStyle w:val="Berschrift2"/>
        <w:ind w:left="-5" w:right="299" w:hanging="10"/>
        <w:rPr>
          <w:lang w:val="en-US"/>
        </w:rPr>
      </w:pPr>
      <w:r>
        <w:rPr>
          <w:lang w:val="en-US"/>
        </w:rPr>
        <w:t>Taxonomic coverage of the harmonized trait datasets</w:t>
      </w:r>
    </w:p>
    <w:p>
      <w:pPr>
        <w:pStyle w:val="Normal"/>
        <w:spacing w:before="0" w:after="367"/>
        <w:ind w:left="-5" w:right="284" w:hanging="10"/>
        <w:rPr>
          <w:lang w:val="en-US"/>
        </w:rPr>
      </w:pPr>
      <w:r>
        <w:rPr>
          <w:lang w:val="en-US"/>
        </w:rPr>
        <w:t>Regarding the taxonomical coverage, the New Zealand dataset has, as expected, the smallest taxon pool (478 taxa, Table 2). By contrast, the largest taxon pool is spanned by the European trait dataset with 4110 taxa followed by the North American trait dataset that contained trait information on 3753 taxa. The Australian dataset contains 1402 taxa. The European, New Zealand, and North American datasets have most taxa on the highest taxonomical resolution while the Australian dataset has a similar number of taxa on species and genus-level.</w:t>
      </w:r>
    </w:p>
    <w:p>
      <w:pPr>
        <w:pStyle w:val="Normal"/>
        <w:ind w:left="-5" w:right="284" w:hanging="10"/>
        <w:rPr/>
      </w:pPr>
      <w:r>
        <w:rPr>
          <w:lang w:val="en-US"/>
        </w:rPr>
        <w:t xml:space="preserve">Table 2: Number of taxa per harmonized database and per taxonomic level. </w:t>
      </w:r>
      <w:r>
        <w:rPr/>
        <w:t>Numbers in parenthesis show relative frequencies in percentage.</w:t>
      </w:r>
    </w:p>
    <w:tbl>
      <w:tblPr>
        <w:tblStyle w:val="TableGrid"/>
        <w:tblW w:w="7725" w:type="dxa"/>
        <w:jc w:val="left"/>
        <w:tblInd w:w="421" w:type="dxa"/>
        <w:tblBorders>
          <w:top w:val="single" w:sz="8" w:space="0" w:color="000000"/>
          <w:bottom w:val="single" w:sz="8" w:space="0" w:color="000000"/>
          <w:insideH w:val="single" w:sz="8" w:space="0" w:color="000000"/>
        </w:tblBorders>
        <w:tblCellMar>
          <w:top w:w="31" w:type="dxa"/>
          <w:left w:w="0" w:type="dxa"/>
          <w:bottom w:w="0" w:type="dxa"/>
          <w:right w:w="113" w:type="dxa"/>
        </w:tblCellMar>
        <w:tblLook w:noVBand="1" w:val="04a0" w:noHBand="0" w:lastColumn="0" w:firstColumn="1" w:lastRow="0" w:firstRow="1"/>
      </w:tblPr>
      <w:tblGrid>
        <w:gridCol w:w="1145"/>
        <w:gridCol w:w="1208"/>
        <w:gridCol w:w="1300"/>
        <w:gridCol w:w="1301"/>
        <w:gridCol w:w="1201"/>
        <w:gridCol w:w="1569"/>
      </w:tblGrid>
      <w:tr>
        <w:trPr>
          <w:trHeight w:val="315"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Database</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Nr. of taxa</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24" w:right="0" w:hanging="0"/>
              <w:jc w:val="left"/>
              <w:rPr/>
            </w:pPr>
            <w:r>
              <w:rPr/>
              <w:t>Species</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67" w:right="0" w:hanging="0"/>
              <w:jc w:val="left"/>
              <w:rPr/>
            </w:pPr>
            <w:r>
              <w:rPr/>
              <w:t>Genus</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0" w:right="0" w:hanging="0"/>
              <w:jc w:val="left"/>
              <w:rPr/>
            </w:pPr>
            <w:r>
              <w:rPr/>
              <w:t>Family</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Nr. aquatic taxa</w:t>
            </w:r>
          </w:p>
        </w:tc>
      </w:tr>
      <w:tr>
        <w:trPr>
          <w:trHeight w:val="303"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EU</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4110</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3848 (93.63)</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00" w:right="0" w:hanging="0"/>
              <w:jc w:val="left"/>
              <w:rPr/>
            </w:pPr>
            <w:r>
              <w:rPr/>
              <w:t>237 (5.77)</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00" w:right="0" w:hanging="0"/>
              <w:jc w:val="left"/>
              <w:rPr/>
            </w:pPr>
            <w:r>
              <w:rPr/>
              <w:t>25 (0.61)</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3579 (87.08)</w:t>
            </w:r>
          </w:p>
        </w:tc>
      </w:tr>
      <w:tr>
        <w:trPr>
          <w:trHeight w:val="239"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NOA</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3753</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2414 (64.32)</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1163 (30.99)</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176 (4.69)</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3305 (88.06)</w:t>
            </w:r>
          </w:p>
        </w:tc>
      </w:tr>
      <w:tr>
        <w:trPr>
          <w:trHeight w:val="239" w:hRule="atLeast"/>
        </w:trPr>
        <w:tc>
          <w:tcPr>
            <w:tcW w:w="114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AUS</w:t>
            </w:r>
          </w:p>
        </w:tc>
        <w:tc>
          <w:tcPr>
            <w:tcW w:w="120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91" w:right="0" w:hanging="0"/>
              <w:jc w:val="left"/>
              <w:rPr/>
            </w:pPr>
            <w:r>
              <w:rPr/>
              <w:t>1402</w:t>
            </w:r>
          </w:p>
        </w:tc>
        <w:tc>
          <w:tcPr>
            <w:tcW w:w="130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564 (40.23)</w:t>
            </w:r>
          </w:p>
        </w:tc>
        <w:tc>
          <w:tcPr>
            <w:tcW w:w="13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0" w:right="0" w:hanging="0"/>
              <w:jc w:val="left"/>
              <w:rPr/>
            </w:pPr>
            <w:r>
              <w:rPr/>
              <w:t>578 (41.23)</w:t>
            </w:r>
          </w:p>
        </w:tc>
        <w:tc>
          <w:tcPr>
            <w:tcW w:w="120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260 (18.54)</w:t>
            </w:r>
          </w:p>
        </w:tc>
        <w:tc>
          <w:tcPr>
            <w:tcW w:w="1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91" w:right="0" w:hanging="0"/>
              <w:jc w:val="left"/>
              <w:rPr/>
            </w:pPr>
            <w:r>
              <w:rPr/>
              <w:t>1016 (72.47)</w:t>
            </w:r>
          </w:p>
        </w:tc>
      </w:tr>
      <w:tr>
        <w:trPr>
          <w:trHeight w:val="283" w:hRule="atLeast"/>
        </w:trPr>
        <w:tc>
          <w:tcPr>
            <w:tcW w:w="1145"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13" w:right="0" w:hanging="0"/>
              <w:jc w:val="left"/>
              <w:rPr/>
            </w:pPr>
            <w:r>
              <w:rPr/>
              <w:t>NZ</w:t>
            </w:r>
          </w:p>
        </w:tc>
        <w:tc>
          <w:tcPr>
            <w:tcW w:w="1208"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341" w:right="0" w:hanging="0"/>
              <w:jc w:val="left"/>
              <w:rPr/>
            </w:pPr>
            <w:r>
              <w:rPr/>
              <w:t>478</w:t>
            </w:r>
          </w:p>
        </w:tc>
        <w:tc>
          <w:tcPr>
            <w:tcW w:w="1300"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50" w:right="0" w:hanging="0"/>
              <w:jc w:val="left"/>
              <w:rPr/>
            </w:pPr>
            <w:r>
              <w:rPr/>
              <w:t>404 (84.52)</w:t>
            </w:r>
          </w:p>
        </w:tc>
        <w:tc>
          <w:tcPr>
            <w:tcW w:w="130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49" w:right="0" w:hanging="0"/>
              <w:jc w:val="left"/>
              <w:rPr/>
            </w:pPr>
            <w:r>
              <w:rPr/>
              <w:t>47 (9.83)</w:t>
            </w:r>
          </w:p>
        </w:tc>
        <w:tc>
          <w:tcPr>
            <w:tcW w:w="120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00" w:right="0" w:hanging="0"/>
              <w:jc w:val="left"/>
              <w:rPr/>
            </w:pPr>
            <w:r>
              <w:rPr/>
              <w:t>27 (5.65)</w:t>
            </w:r>
          </w:p>
        </w:tc>
        <w:tc>
          <w:tcPr>
            <w:tcW w:w="1569"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241" w:right="0" w:hanging="0"/>
              <w:jc w:val="left"/>
              <w:rPr/>
            </w:pPr>
            <w:r>
              <w:rPr/>
              <w:t>443 (92.68)</w:t>
            </w:r>
          </w:p>
        </w:tc>
      </w:tr>
    </w:tbl>
    <w:p>
      <w:pPr>
        <w:pStyle w:val="Berschrift2"/>
        <w:ind w:left="-5" w:right="299" w:hanging="10"/>
        <w:rPr/>
      </w:pPr>
      <w:r>
        <w:rPr/>
      </w:r>
    </w:p>
    <w:p>
      <w:pPr>
        <w:pStyle w:val="Berschrift2"/>
        <w:ind w:left="-5" w:right="299" w:hanging="10"/>
        <w:rPr/>
      </w:pPr>
      <w:r>
        <w:rPr/>
        <w:t>Completeness of trait information</w:t>
      </w:r>
    </w:p>
    <w:p>
      <w:pPr>
        <w:pStyle w:val="Normal"/>
        <w:spacing w:before="0" w:after="376"/>
        <w:ind w:left="-5" w:right="284" w:hanging="10"/>
        <w:rPr>
          <w:lang w:val="en-US"/>
        </w:rPr>
      </w:pPr>
      <w:r>
        <w:rPr>
          <w:lang w:val="en-US"/>
        </w:rPr>
        <w:t>The amount of entries with available information for the selected grouping features varied strongly for the European, North American, and Australian datasets (Table 3). By contrast, the New Zealand dataset contained complete trait information for most of the investigated grouping features (between 94 % and 100 %).</w:t>
      </w:r>
    </w:p>
    <w:p>
      <w:pPr>
        <w:pStyle w:val="Normal"/>
        <w:ind w:left="-5" w:right="284" w:hanging="10"/>
        <w:rPr/>
      </w:pPr>
      <w:r>
        <w:rPr>
          <w:lang w:val="en-US"/>
        </w:rPr>
        <w:t>Table 3: Displayed is the percentage of entries that have information for the individual grouping features per dataset.</w:t>
      </w:r>
    </w:p>
    <w:tbl>
      <w:tblPr>
        <w:tblStyle w:val="TableGrid"/>
        <w:tblW w:w="8968" w:type="dxa"/>
        <w:jc w:val="left"/>
        <w:tblInd w:w="0" w:type="dxa"/>
        <w:tblBorders>
          <w:top w:val="single" w:sz="8" w:space="0" w:color="000000"/>
          <w:bottom w:val="single" w:sz="8" w:space="0" w:color="000000"/>
          <w:insideH w:val="single" w:sz="8" w:space="0" w:color="000000"/>
        </w:tblBorders>
        <w:tblCellMar>
          <w:top w:w="31" w:type="dxa"/>
          <w:left w:w="0" w:type="dxa"/>
          <w:bottom w:w="0" w:type="dxa"/>
          <w:right w:w="113" w:type="dxa"/>
        </w:tblCellMar>
        <w:tblLook w:noVBand="1" w:val="04a0" w:noHBand="0" w:lastColumn="0" w:firstColumn="1" w:lastRow="0" w:firstRow="1"/>
      </w:tblPr>
      <w:tblGrid>
        <w:gridCol w:w="1147"/>
        <w:gridCol w:w="1161"/>
        <w:gridCol w:w="1235"/>
        <w:gridCol w:w="1058"/>
        <w:gridCol w:w="1253"/>
        <w:gridCol w:w="569"/>
        <w:gridCol w:w="1227"/>
        <w:gridCol w:w="1317"/>
      </w:tblGrid>
      <w:tr>
        <w:trPr>
          <w:trHeight w:val="315"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Database</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Body form</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Oviposition</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Voltinism</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Locomotion</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Size</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Feeding mode</w:t>
            </w:r>
          </w:p>
        </w:tc>
      </w:tr>
      <w:tr>
        <w:trPr>
          <w:trHeight w:val="303"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EU</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16</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24</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33</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11</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56</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65</w:t>
            </w:r>
          </w:p>
        </w:tc>
      </w:tr>
      <w:tr>
        <w:trPr>
          <w:trHeight w:val="239"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NOA</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28</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13</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47</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52</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73</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44</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63</w:t>
            </w:r>
          </w:p>
        </w:tc>
      </w:tr>
      <w:tr>
        <w:trPr>
          <w:trHeight w:val="239" w:hRule="atLeast"/>
        </w:trPr>
        <w:tc>
          <w:tcPr>
            <w:tcW w:w="114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3" w:right="0" w:hanging="0"/>
              <w:jc w:val="left"/>
              <w:rPr/>
            </w:pPr>
            <w:r>
              <w:rPr/>
              <w:t>AUS</w:t>
            </w:r>
          </w:p>
        </w:tc>
        <w:tc>
          <w:tcPr>
            <w:tcW w:w="116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w:t>
            </w:r>
          </w:p>
        </w:tc>
        <w:tc>
          <w:tcPr>
            <w:tcW w:w="123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48</w:t>
            </w:r>
          </w:p>
        </w:tc>
        <w:tc>
          <w:tcPr>
            <w:tcW w:w="1058"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51</w:t>
            </w:r>
          </w:p>
        </w:tc>
        <w:tc>
          <w:tcPr>
            <w:tcW w:w="125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42</w:t>
            </w:r>
          </w:p>
        </w:tc>
        <w:tc>
          <w:tcPr>
            <w:tcW w:w="5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78</w:t>
            </w:r>
          </w:p>
        </w:tc>
        <w:tc>
          <w:tcPr>
            <w:tcW w:w="122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70</w:t>
            </w:r>
          </w:p>
        </w:tc>
        <w:tc>
          <w:tcPr>
            <w:tcW w:w="13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99</w:t>
            </w:r>
          </w:p>
        </w:tc>
      </w:tr>
      <w:tr>
        <w:trPr>
          <w:trHeight w:val="283" w:hRule="atLeast"/>
        </w:trPr>
        <w:tc>
          <w:tcPr>
            <w:tcW w:w="114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113" w:right="0" w:hanging="0"/>
              <w:jc w:val="left"/>
              <w:rPr/>
            </w:pPr>
            <w:r>
              <w:rPr/>
              <w:t>NZ</w:t>
            </w:r>
          </w:p>
        </w:tc>
        <w:tc>
          <w:tcPr>
            <w:tcW w:w="1161"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35"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94</w:t>
            </w:r>
          </w:p>
        </w:tc>
        <w:tc>
          <w:tcPr>
            <w:tcW w:w="1058"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53"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99</w:t>
            </w:r>
          </w:p>
        </w:tc>
        <w:tc>
          <w:tcPr>
            <w:tcW w:w="569"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22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100</w:t>
            </w:r>
          </w:p>
        </w:tc>
        <w:tc>
          <w:tcPr>
            <w:tcW w:w="1317" w:type="dxa"/>
            <w:tcBorders>
              <w:top w:val="single" w:sz="6" w:space="0" w:color="000000"/>
              <w:bottom w:val="single" w:sz="6" w:space="0" w:color="000000"/>
              <w:insideH w:val="single" w:sz="6" w:space="0" w:color="000000"/>
            </w:tcBorders>
            <w:shd w:fill="auto" w:val="clear"/>
          </w:tcPr>
          <w:p>
            <w:pPr>
              <w:pStyle w:val="Normal"/>
              <w:spacing w:lineRule="auto" w:line="259" w:before="0" w:after="0"/>
              <w:ind w:left="0" w:right="0" w:hanging="0"/>
              <w:jc w:val="left"/>
              <w:rPr/>
            </w:pPr>
            <w:r>
              <w:rPr/>
              <w:t>99</w:t>
            </w:r>
          </w:p>
        </w:tc>
      </w:tr>
    </w:tbl>
    <w:p>
      <w:pPr>
        <w:pStyle w:val="Berschrift2"/>
        <w:ind w:left="-5" w:right="299" w:hanging="10"/>
        <w:rPr>
          <w:lang w:val="en-US"/>
        </w:rPr>
      </w:pPr>
      <w:r>
        <w:rPr>
          <w:lang w:val="en-US"/>
        </w:rPr>
      </w:r>
    </w:p>
    <w:p>
      <w:pPr>
        <w:pStyle w:val="Berschrift2"/>
        <w:ind w:left="10" w:right="299" w:hanging="0"/>
        <w:rPr/>
      </w:pPr>
      <w:r>
        <w:rPr>
          <w:lang w:val="en-US"/>
        </w:rPr>
        <w:t>Differences in trait affinities obtained by trait aggregation methods compared to traits assigned at family-level</w:t>
      </w:r>
    </w:p>
    <w:p>
      <w:pPr>
        <w:pStyle w:val="Normal"/>
        <w:ind w:left="-5" w:right="284" w:hanging="10"/>
        <w:rPr>
          <w:lang w:val="en-US"/>
        </w:rPr>
      </w:pPr>
      <w:r>
        <w:rPr>
          <w:lang w:val="en-US"/>
        </w:rPr>
        <w:t>The percentage of differing cases of trait affinities obtained by the trait aggregation methods compared to trait affinities assigned at family-level varied between 16.18 % and 22.9 % for the Australian database. For the North American database, comparison of the trait aggregation methods to trait affinities assigned at family-level yielded between 15.3 % and 47 % differing cases (Table 4).</w:t>
      </w:r>
    </w:p>
    <w:p>
      <w:pPr>
        <w:pStyle w:val="Normal"/>
        <w:ind w:left="-15" w:right="284" w:firstLine="299"/>
        <w:rPr>
          <w:lang w:val="en-US"/>
        </w:rPr>
      </w:pPr>
      <w:r>
        <w:rPr>
          <w:lang w:val="en-US"/>
        </w:rPr>
        <w:t>In general, trait aggregation methods using the median yielded fewer cases with differences compared to approaches using the mean. However, aggregation methods using the median produced greater differences for both databases. Standard deviations of absolute differences were similar for all tested aggregation methods. For both databases maximum differences of 1 occurred for all investigated grouping features (Figure 2 and Figure 3).</w:t>
      </w:r>
    </w:p>
    <w:p>
      <w:pPr>
        <w:pStyle w:val="Normal"/>
        <w:spacing w:before="0" w:after="401"/>
        <w:ind w:left="-15" w:right="284" w:firstLine="299"/>
        <w:rPr/>
      </w:pPr>
      <w:r>
        <w:rPr>
          <w:lang w:val="en-US"/>
        </w:rPr>
        <w:t xml:space="preserve">A comparison of the aggregation methods with each other for the 4 datasets revealed that differences in aggregated trait affinities were largest between the </w:t>
      </w:r>
      <w:r>
        <w:rPr>
          <w:i/>
          <w:lang w:val="en-US"/>
        </w:rPr>
        <w:t>stepwise</w:t>
      </w:r>
      <w:r>
        <w:rPr>
          <w:i/>
          <w:lang w:val="en-US"/>
        </w:rPr>
        <mc:AlternateContent>
          <mc:Choice Requires="wpg">
            <w:drawing>
              <wp:inline distT="0" distB="0" distL="0" distR="0" wp14:anchorId="087C058D">
                <wp:extent cx="40640" cy="6985"/>
                <wp:effectExtent l="0" t="0" r="0" b="0"/>
                <wp:docPr id="4" name=""/>
                <a:graphic xmlns:a="http://schemas.openxmlformats.org/drawingml/2006/main">
                  <a:graphicData uri="http://schemas.microsoft.com/office/word/2010/wordprocessingGroup">
                    <wpg:wgp>
                      <wpg:cNvGrpSpPr/>
                      <wpg:grpSpPr>
                        <a:xfrm>
                          <a:off x="0" y="0"/>
                          <a:ext cx="39960" cy="6480"/>
                        </a:xfrm>
                      </wpg:grpSpPr>
                      <wps:wsp>
                        <wps:cNvSpPr/>
                        <wps:spPr>
                          <a:xfrm>
                            <a:off x="0" y="0"/>
                            <a:ext cx="39960" cy="648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55pt;width:3.15pt;height:0.5pt" coordorigin="0,-11" coordsize="63,10"/>
            </w:pict>
          </mc:Fallback>
        </mc:AlternateContent>
      </w:r>
      <w:r>
        <w:rPr>
          <w:i/>
          <w:lang w:val="en-US"/>
        </w:rPr>
        <w:t>agg</w:t>
      </w:r>
      <w:r>
        <w:rPr>
          <w:i/>
          <w:vertAlign w:val="subscript"/>
          <w:lang w:val="en-US"/>
        </w:rPr>
        <w:t xml:space="preserve">median </w:t>
      </w:r>
      <w:r>
        <w:rPr>
          <w:lang w:val="en-US"/>
        </w:rPr>
        <w:t xml:space="preserve">and </w:t>
      </w:r>
      <w:r>
        <w:rPr>
          <w:i/>
          <w:lang w:val="en-US"/>
        </w:rPr>
        <w:t>direct</w:t>
      </w:r>
      <w:r>
        <w:rPr>
          <w:i/>
          <w:lang w:val="en-US"/>
        </w:rPr>
        <mc:AlternateContent>
          <mc:Choice Requires="wpg">
            <w:drawing>
              <wp:inline distT="0" distB="0" distL="0" distR="0" wp14:anchorId="72AF5687">
                <wp:extent cx="40640" cy="6985"/>
                <wp:effectExtent l="0" t="0" r="0" b="0"/>
                <wp:docPr id="5" name=""/>
                <a:graphic xmlns:a="http://schemas.openxmlformats.org/drawingml/2006/main">
                  <a:graphicData uri="http://schemas.microsoft.com/office/word/2010/wordprocessingGroup">
                    <wpg:wgp>
                      <wpg:cNvGrpSpPr/>
                      <wpg:grpSpPr>
                        <a:xfrm>
                          <a:off x="0" y="0"/>
                          <a:ext cx="39960" cy="6480"/>
                        </a:xfrm>
                      </wpg:grpSpPr>
                      <wps:wsp>
                        <wps:cNvSpPr/>
                        <wps:spPr>
                          <a:xfrm>
                            <a:off x="0" y="0"/>
                            <a:ext cx="39960" cy="6480"/>
                          </a:xfrm>
                          <a:custGeom>
                            <a:avLst/>
                            <a:gdLst/>
                            <a:ahLst/>
                            <a:rect l="l" t="t" r="r" b="b"/>
                            <a:pathLst>
                              <a:path w="38798" h="0">
                                <a:moveTo>
                                  <a:pt x="0" y="0"/>
                                </a:moveTo>
                                <a:lnTo>
                                  <a:pt x="38798" y="0"/>
                                </a:lnTo>
                              </a:path>
                            </a:pathLst>
                          </a:custGeom>
                          <a:noFill/>
                          <a:ln w="504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55pt;width:3.15pt;height:0.5pt" coordorigin="0,-11" coordsize="63,10"/>
            </w:pict>
          </mc:Fallback>
        </mc:AlternateContent>
      </w:r>
      <w:r>
        <w:rPr>
          <w:i/>
          <w:lang w:val="en-US"/>
        </w:rPr>
        <w:t>agg</w:t>
      </w:r>
      <w:r>
        <w:rPr>
          <w:i/>
          <w:vertAlign w:val="subscript"/>
          <w:lang w:val="en-US"/>
        </w:rPr>
        <w:t xml:space="preserve">median </w:t>
      </w:r>
      <w:r>
        <w:rPr>
          <w:lang w:val="en-US"/>
        </w:rPr>
        <w:t>(Figure S1).</w:t>
      </w:r>
    </w:p>
    <w:p>
      <w:pPr>
        <w:pStyle w:val="Normal"/>
        <w:ind w:left="-5" w:right="284" w:hanging="10"/>
        <w:rPr>
          <w:lang w:val="en-US"/>
        </w:rPr>
      </w:pPr>
      <w:r>
        <w:rPr>
          <w:lang w:val="en-US"/>
        </w:rPr>
      </w:r>
    </w:p>
    <w:p>
      <w:pPr>
        <w:pStyle w:val="Normal"/>
        <w:ind w:left="-5" w:right="284" w:hanging="10"/>
        <w:rPr>
          <w:lang w:val="en-US"/>
        </w:rPr>
      </w:pPr>
      <w:r>
        <w:rPr>
          <w:lang w:val="en-US"/>
        </w:rPr>
      </w:r>
    </w:p>
    <w:p>
      <w:pPr>
        <w:pStyle w:val="Normal"/>
        <w:ind w:left="-15" w:right="284" w:hanging="0"/>
        <w:rPr/>
      </w:pPr>
      <w:r>
        <w:rPr>
          <w:lang w:val="en-US"/>
        </w:rPr>
        <w:t>Table 4: Amount of differing cases, the minimum and maximum, and means and standard deviations of absolute differences between trait affinities assigned at family-level and aggregated trait affinities.</w:t>
      </w:r>
    </w:p>
    <w:tbl>
      <w:tblPr>
        <w:tblStyle w:val="TableGrid"/>
        <w:tblW w:w="9234" w:type="dxa"/>
        <w:jc w:val="left"/>
        <w:tblInd w:w="0" w:type="dxa"/>
        <w:tblBorders>
          <w:top w:val="single" w:sz="8" w:space="0" w:color="000000"/>
          <w:bottom w:val="single" w:sz="8" w:space="0" w:color="000000"/>
          <w:insideH w:val="single" w:sz="8" w:space="0" w:color="000000"/>
        </w:tblBorders>
        <w:tblCellMar>
          <w:top w:w="95" w:type="dxa"/>
          <w:left w:w="0" w:type="dxa"/>
          <w:bottom w:w="0" w:type="dxa"/>
          <w:right w:w="113" w:type="dxa"/>
        </w:tblCellMar>
        <w:tblLook w:noVBand="1" w:val="04a0" w:noHBand="0" w:lastColumn="0" w:firstColumn="1" w:lastRow="0" w:firstRow="1"/>
      </w:tblPr>
      <w:tblGrid>
        <w:gridCol w:w="1627"/>
        <w:gridCol w:w="2037"/>
        <w:gridCol w:w="1121"/>
        <w:gridCol w:w="1129"/>
        <w:gridCol w:w="1129"/>
        <w:gridCol w:w="1130"/>
        <w:gridCol w:w="1060"/>
      </w:tblGrid>
      <w:tr>
        <w:trPr>
          <w:trHeight w:val="554" w:hRule="atLeast"/>
        </w:trPr>
        <w:tc>
          <w:tcPr>
            <w:tcW w:w="1627" w:type="dxa"/>
            <w:tcBorders>
              <w:top w:val="single" w:sz="8" w:space="0" w:color="000000"/>
              <w:bottom w:val="single" w:sz="8" w:space="0" w:color="000000"/>
              <w:insideH w:val="single" w:sz="8" w:space="0" w:color="000000"/>
            </w:tcBorders>
            <w:shd w:fill="auto" w:val="clear"/>
            <w:vAlign w:val="center"/>
          </w:tcPr>
          <w:p>
            <w:pPr>
              <w:pStyle w:val="Normal"/>
              <w:spacing w:lineRule="auto" w:line="259" w:before="0" w:after="0"/>
              <w:ind w:left="113" w:right="0" w:hanging="0"/>
              <w:jc w:val="left"/>
              <w:rPr/>
            </w:pPr>
            <w:r>
              <w:rPr/>
              <w:t>Database</w:t>
            </w:r>
          </w:p>
        </w:tc>
        <w:tc>
          <w:tcPr>
            <w:tcW w:w="203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86" w:firstLine="105"/>
              <w:jc w:val="left"/>
              <w:rPr>
                <w:lang w:val="en-US"/>
              </w:rPr>
            </w:pPr>
            <w:r>
              <w:rPr>
                <w:lang w:val="en-US"/>
              </w:rPr>
              <w:t>Comparison to traits at fam.-lvl.</w:t>
            </w:r>
          </w:p>
        </w:tc>
        <w:tc>
          <w:tcPr>
            <w:tcW w:w="1121"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7" w:right="0" w:firstLine="11"/>
              <w:jc w:val="left"/>
              <w:rPr/>
            </w:pPr>
            <w:r>
              <w:rPr/>
              <w:t>Differing cases [%]</w:t>
            </w:r>
          </w:p>
        </w:tc>
        <w:tc>
          <w:tcPr>
            <w:tcW w:w="112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50" w:right="0" w:hanging="0"/>
              <w:jc w:val="left"/>
              <w:rPr/>
            </w:pPr>
            <w:r>
              <w:rPr/>
              <w:t>Min.</w:t>
            </w:r>
          </w:p>
          <w:p>
            <w:pPr>
              <w:pStyle w:val="Normal"/>
              <w:spacing w:lineRule="auto" w:line="259" w:before="0" w:after="0"/>
              <w:ind w:left="0" w:right="0" w:hanging="0"/>
              <w:jc w:val="left"/>
              <w:rPr/>
            </w:pPr>
            <w:r>
              <w:rPr/>
              <w:t>differences</w:t>
            </w:r>
          </w:p>
        </w:tc>
        <w:tc>
          <w:tcPr>
            <w:tcW w:w="112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231" w:right="0" w:hanging="0"/>
              <w:jc w:val="left"/>
              <w:rPr/>
            </w:pPr>
            <w:r>
              <w:rPr/>
              <w:t>Max.</w:t>
            </w:r>
          </w:p>
          <w:p>
            <w:pPr>
              <w:pStyle w:val="Normal"/>
              <w:spacing w:lineRule="auto" w:line="259" w:before="0" w:after="0"/>
              <w:ind w:left="0" w:right="0" w:hanging="0"/>
              <w:jc w:val="left"/>
              <w:rPr/>
            </w:pPr>
            <w:r>
              <w:rPr/>
              <w:t>differences</w:t>
            </w:r>
          </w:p>
        </w:tc>
        <w:tc>
          <w:tcPr>
            <w:tcW w:w="113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firstLine="6"/>
              <w:jc w:val="left"/>
              <w:rPr/>
            </w:pPr>
            <w:r>
              <w:rPr/>
              <w:t>Mean abs. differences</w:t>
            </w:r>
          </w:p>
        </w:tc>
        <w:tc>
          <w:tcPr>
            <w:tcW w:w="1060"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5" w:right="0" w:hanging="0"/>
              <w:jc w:val="left"/>
              <w:rPr/>
            </w:pPr>
            <w:r>
              <w:rPr/>
              <w:t>SD abs.</w:t>
            </w:r>
          </w:p>
          <w:p>
            <w:pPr>
              <w:pStyle w:val="Normal"/>
              <w:spacing w:lineRule="auto" w:line="259" w:before="0" w:after="0"/>
              <w:ind w:left="0" w:right="0" w:hanging="0"/>
              <w:jc w:val="left"/>
              <w:rPr/>
            </w:pPr>
            <w:r>
              <w:rPr/>
              <w:t>differences</w:t>
            </w:r>
          </w:p>
        </w:tc>
      </w:tr>
    </w:tbl>
    <w:p>
      <w:pPr>
        <w:pStyle w:val="Normal"/>
        <w:spacing w:lineRule="auto" w:line="259" w:before="0" w:after="0"/>
        <w:ind w:left="0" w:right="-367" w:hanging="0"/>
        <w:jc w:val="left"/>
        <w:rPr/>
      </w:pPr>
      <w:r>
        <w:rPr/>
        <mc:AlternateContent>
          <mc:Choice Requires="wpg">
            <w:drawing>
              <wp:inline distT="0" distB="0" distL="0" distR="0" wp14:anchorId="0DA5D11E">
                <wp:extent cx="5865495" cy="1623060"/>
                <wp:effectExtent l="0" t="0" r="0" b="0"/>
                <wp:docPr id="6" name=""/>
                <a:graphic xmlns:a="http://schemas.openxmlformats.org/drawingml/2006/main">
                  <a:graphicData uri="http://schemas.microsoft.com/office/word/2010/wordprocessingGroup">
                    <wpg:wgp>
                      <wpg:cNvGrpSpPr/>
                      <wpg:grpSpPr>
                        <a:xfrm>
                          <a:off x="0" y="0"/>
                          <a:ext cx="5864760" cy="1622520"/>
                        </a:xfrm>
                      </wpg:grpSpPr>
                      <wps:wsp>
                        <wps:cNvSpPr/>
                        <wps:spPr>
                          <a:xfrm>
                            <a:off x="144000" y="171360"/>
                            <a:ext cx="6775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Australia</w:t>
                              </w:r>
                            </w:p>
                          </w:txbxContent>
                        </wps:txbx>
                        <wps:bodyPr lIns="0" rIns="0" tIns="0" bIns="0">
                          <a:noAutofit/>
                        </wps:bodyPr>
                      </wps:wsp>
                      <wps:wsp>
                        <wps:cNvSpPr/>
                        <wps:spPr>
                          <a:xfrm>
                            <a:off x="71640" y="323280"/>
                            <a:ext cx="63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678240" y="323280"/>
                            <a:ext cx="63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121320" y="323280"/>
                            <a:ext cx="738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Chessman</w:t>
                              </w:r>
                            </w:p>
                          </w:txbxContent>
                        </wps:txbx>
                        <wps:bodyPr lIns="0" rIns="0" tIns="0" bIns="0">
                          <a:noAutofit/>
                        </wps:bodyPr>
                      </wps:wsp>
                      <wps:wsp>
                        <wps:cNvSpPr/>
                        <wps:spPr>
                          <a:xfrm>
                            <a:off x="1045800" y="18360"/>
                            <a:ext cx="4190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8360"/>
                            <a:ext cx="9716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3320" y="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4677480" y="19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0.45</w:t>
                              </w:r>
                            </w:p>
                          </w:txbxContent>
                        </wps:txbx>
                        <wps:bodyPr lIns="0" rIns="0" tIns="0" bIns="0">
                          <a:noAutofit/>
                        </wps:bodyPr>
                      </wps:wsp>
                      <wps:wsp>
                        <wps:cNvSpPr/>
                        <wps:spPr>
                          <a:xfrm>
                            <a:off x="3958560" y="19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5680" y="19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wps:txbx>
                        <wps:bodyPr lIns="0" rIns="0" tIns="0" bIns="0">
                          <a:noAutofit/>
                        </wps:bodyPr>
                      </wps:wsp>
                      <wps:wsp>
                        <wps:cNvSpPr/>
                        <wps:spPr>
                          <a:xfrm>
                            <a:off x="3240360" y="19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wps:txbx>
                        <wps:bodyPr lIns="0" rIns="0" tIns="0" bIns="0">
                          <a:noAutofit/>
                        </wps:bodyPr>
                      </wps:wsp>
                      <wps:wsp>
                        <wps:cNvSpPr/>
                        <wps:spPr>
                          <a:xfrm>
                            <a:off x="2530440" y="198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16.53</w:t>
                              </w:r>
                            </w:p>
                          </w:txbxContent>
                        </wps:txbx>
                        <wps:bodyPr lIns="0" rIns="0" tIns="0" bIns="0">
                          <a:noAutofit/>
                        </wps:bodyPr>
                      </wps:wsp>
                      <wps:wsp>
                        <wps:cNvSpPr/>
                        <wps:spPr>
                          <a:xfrm>
                            <a:off x="1045800" y="171360"/>
                            <a:ext cx="4190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71360"/>
                            <a:ext cx="8312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3320" y="15300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1728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3760" y="1728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1728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1728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05600" y="1728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4677480" y="172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wps:txbx>
                        <wps:bodyPr lIns="0" rIns="0" tIns="0" bIns="0">
                          <a:noAutofit/>
                        </wps:bodyPr>
                      </wps:wsp>
                      <wps:wsp>
                        <wps:cNvSpPr/>
                        <wps:spPr>
                          <a:xfrm>
                            <a:off x="3958560" y="172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wps:txbx>
                        <wps:bodyPr lIns="0" rIns="0" tIns="0" bIns="0">
                          <a:noAutofit/>
                        </wps:bodyPr>
                      </wps:wsp>
                      <wps:wsp>
                        <wps:cNvSpPr/>
                        <wps:spPr>
                          <a:xfrm>
                            <a:off x="5395680" y="172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w:t>
                              </w:r>
                            </w:p>
                          </w:txbxContent>
                        </wps:txbx>
                        <wps:bodyPr lIns="0" rIns="0" tIns="0" bIns="0">
                          <a:noAutofit/>
                        </wps:bodyPr>
                      </wps:wsp>
                      <wps:wsp>
                        <wps:cNvSpPr/>
                        <wps:spPr>
                          <a:xfrm>
                            <a:off x="1045800" y="324360"/>
                            <a:ext cx="6037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200" y="410040"/>
                            <a:ext cx="3636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7640" y="324360"/>
                            <a:ext cx="9702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3320" y="30600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4677480" y="325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0.42</w:t>
                              </w:r>
                            </w:p>
                          </w:txbxContent>
                        </wps:txbx>
                        <wps:bodyPr lIns="0" rIns="0" tIns="0" bIns="0">
                          <a:noAutofit/>
                        </wps:bodyPr>
                      </wps:wsp>
                      <wps:wsp>
                        <wps:cNvSpPr/>
                        <wps:spPr>
                          <a:xfrm>
                            <a:off x="3240360" y="325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wps:txbx>
                        <wps:bodyPr lIns="0" rIns="0" tIns="0" bIns="0">
                          <a:noAutofit/>
                        </wps:bodyPr>
                      </wps:wsp>
                      <wps:wsp>
                        <wps:cNvSpPr/>
                        <wps:spPr>
                          <a:xfrm>
                            <a:off x="2530440" y="3258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17.90</w:t>
                              </w:r>
                            </w:p>
                          </w:txbxContent>
                        </wps:txbx>
                        <wps:bodyPr lIns="0" rIns="0" tIns="0" bIns="0">
                          <a:noAutofit/>
                        </wps:bodyPr>
                      </wps:wsp>
                      <wps:wsp>
                        <wps:cNvSpPr/>
                        <wps:spPr>
                          <a:xfrm>
                            <a:off x="3958560" y="325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5680" y="325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1045800" y="477360"/>
                            <a:ext cx="6037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200" y="563400"/>
                            <a:ext cx="3636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7640" y="477360"/>
                            <a:ext cx="8298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3320" y="45900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4788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3760" y="4788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4788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4788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4677480" y="478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0.33</w:t>
                              </w:r>
                            </w:p>
                          </w:txbxContent>
                        </wps:txbx>
                        <wps:bodyPr lIns="0" rIns="0" tIns="0" bIns="0">
                          <a:noAutofit/>
                        </wps:bodyPr>
                      </wps:wsp>
                      <wps:wsp>
                        <wps:cNvSpPr/>
                        <wps:spPr>
                          <a:xfrm>
                            <a:off x="3958560" y="478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wps:txbx>
                        <wps:bodyPr lIns="0" rIns="0" tIns="0" bIns="0">
                          <a:noAutofit/>
                        </wps:bodyPr>
                      </wps:wsp>
                      <wps:wsp>
                        <wps:cNvSpPr/>
                        <wps:spPr>
                          <a:xfrm>
                            <a:off x="5395680" y="478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0.22</w:t>
                              </w:r>
                            </w:p>
                          </w:txbxContent>
                        </wps:txbx>
                        <wps:bodyPr lIns="0" rIns="0" tIns="0" bIns="0">
                          <a:noAutofit/>
                        </wps:bodyPr>
                      </wps:wsp>
                      <wps:wsp>
                        <wps:cNvSpPr/>
                        <wps:spPr>
                          <a:xfrm>
                            <a:off x="3405600" y="4788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1045800" y="630720"/>
                            <a:ext cx="6444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wps:txbx>
                        <wps:bodyPr lIns="0" rIns="0" tIns="0" bIns="0">
                          <a:noAutofit/>
                        </wps:bodyPr>
                      </wps:wsp>
                      <wps:wsp>
                        <wps:cNvSpPr/>
                        <wps:spPr>
                          <a:xfrm>
                            <a:off x="1577880" y="630720"/>
                            <a:ext cx="2509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wps:txbx>
                        <wps:bodyPr lIns="0" rIns="0" tIns="0" bIns="0">
                          <a:noAutofit/>
                        </wps:bodyPr>
                      </wps:wsp>
                      <wps:wsp>
                        <wps:cNvSpPr/>
                        <wps:spPr>
                          <a:xfrm>
                            <a:off x="2353320" y="61200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6318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wps:txbx>
                        <wps:bodyPr lIns="0" rIns="0" tIns="0" bIns="0">
                          <a:noAutofit/>
                        </wps:bodyPr>
                      </wps:wsp>
                      <wps:wsp>
                        <wps:cNvSpPr/>
                        <wps:spPr>
                          <a:xfrm>
                            <a:off x="3173760" y="6318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6318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6318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958560" y="631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4677480" y="631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wps:txbx>
                        <wps:bodyPr lIns="0" rIns="0" tIns="0" bIns="0">
                          <a:noAutofit/>
                        </wps:bodyPr>
                      </wps:wsp>
                      <wps:wsp>
                        <wps:cNvSpPr/>
                        <wps:spPr>
                          <a:xfrm>
                            <a:off x="3405600" y="6318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5680" y="6318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w:t>
                              </w:r>
                            </w:p>
                          </w:txbxContent>
                        </wps:txbx>
                        <wps:bodyPr lIns="0" rIns="0" tIns="0" bIns="0">
                          <a:noAutofit/>
                        </wps:bodyPr>
                      </wps:wsp>
                      <wps:wsp>
                        <wps:cNvSpPr/>
                        <wps:spPr>
                          <a:xfrm>
                            <a:off x="0" y="790560"/>
                            <a:ext cx="5864760" cy="720"/>
                          </a:xfrm>
                          <a:custGeom>
                            <a:avLst/>
                            <a:gdLst/>
                            <a:ahLst/>
                            <a:rect l="l" t="t" r="r" b="b"/>
                            <a:pathLst>
                              <a:path w="5863768" h="0">
                                <a:moveTo>
                                  <a:pt x="0" y="0"/>
                                </a:moveTo>
                                <a:lnTo>
                                  <a:pt x="5863768" y="0"/>
                                </a:lnTo>
                              </a:path>
                            </a:pathLst>
                          </a:custGeom>
                          <a:noFill/>
                          <a:ln>
                            <a:solidFill>
                              <a:srgbClr val="ffffff"/>
                            </a:solidFill>
                          </a:ln>
                        </wps:spPr>
                        <wps:style>
                          <a:lnRef idx="1"/>
                          <a:fillRef idx="0"/>
                          <a:effectRef idx="0"/>
                          <a:fontRef idx="minor"/>
                        </wps:style>
                        <wps:bodyPr/>
                      </wps:wsp>
                      <wps:wsp>
                        <wps:cNvSpPr/>
                        <wps:spPr>
                          <a:xfrm>
                            <a:off x="71640" y="1001520"/>
                            <a:ext cx="1102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NorthAmerica</w:t>
                              </w:r>
                            </w:p>
                          </w:txbxContent>
                        </wps:txbx>
                        <wps:bodyPr lIns="0" rIns="0" tIns="0" bIns="0">
                          <a:noAutofit/>
                        </wps:bodyPr>
                      </wps:wsp>
                      <wps:wsp>
                        <wps:cNvSpPr/>
                        <wps:spPr>
                          <a:xfrm>
                            <a:off x="626760" y="1153080"/>
                            <a:ext cx="63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298440" y="1153080"/>
                            <a:ext cx="63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7400" y="1153080"/>
                            <a:ext cx="3697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Pyne</w:t>
                              </w:r>
                            </w:p>
                          </w:txbxContent>
                        </wps:txbx>
                        <wps:bodyPr lIns="0" rIns="0" tIns="0" bIns="0">
                          <a:noAutofit/>
                        </wps:bodyPr>
                      </wps:wsp>
                      <wps:wsp>
                        <wps:cNvSpPr/>
                        <wps:spPr>
                          <a:xfrm>
                            <a:off x="1045800" y="848520"/>
                            <a:ext cx="4190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848520"/>
                            <a:ext cx="9716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3320" y="82980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3240360" y="849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w:t>
                              </w:r>
                            </w:p>
                          </w:txbxContent>
                        </wps:txbx>
                        <wps:bodyPr lIns="0" rIns="0" tIns="0" bIns="0">
                          <a:noAutofit/>
                        </wps:bodyPr>
                      </wps:wsp>
                      <wps:wsp>
                        <wps:cNvSpPr/>
                        <wps:spPr>
                          <a:xfrm>
                            <a:off x="3958560" y="849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2530440" y="8496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15.33</w:t>
                              </w:r>
                            </w:p>
                          </w:txbxContent>
                        </wps:txbx>
                        <wps:bodyPr lIns="0" rIns="0" tIns="0" bIns="0">
                          <a:noAutofit/>
                        </wps:bodyPr>
                      </wps:wsp>
                      <wps:wsp>
                        <wps:cNvSpPr/>
                        <wps:spPr>
                          <a:xfrm>
                            <a:off x="5395680" y="849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4677480" y="849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0.70</w:t>
                              </w:r>
                            </w:p>
                          </w:txbxContent>
                        </wps:txbx>
                        <wps:bodyPr lIns="0" rIns="0" tIns="0" bIns="0">
                          <a:noAutofit/>
                        </wps:bodyPr>
                      </wps:wsp>
                      <wps:wsp>
                        <wps:cNvSpPr/>
                        <wps:spPr>
                          <a:xfrm>
                            <a:off x="1045800" y="1001520"/>
                            <a:ext cx="4190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wps:txbx>
                        <wps:bodyPr lIns="0" rIns="0" tIns="0" bIns="0">
                          <a:noAutofit/>
                        </wps:bodyPr>
                      </wps:wsp>
                      <wps:wsp>
                        <wps:cNvSpPr/>
                        <wps:spPr>
                          <a:xfrm>
                            <a:off x="1408320" y="1001520"/>
                            <a:ext cx="8312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3320" y="98316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10026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3760" y="10026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10026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10026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405600" y="10026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5680" y="1002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wps:txbx>
                        <wps:bodyPr lIns="0" rIns="0" tIns="0" bIns="0">
                          <a:noAutofit/>
                        </wps:bodyPr>
                      </wps:wsp>
                      <wps:wsp>
                        <wps:cNvSpPr/>
                        <wps:spPr>
                          <a:xfrm>
                            <a:off x="3958560" y="1002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4677480" y="1002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wps:txbx>
                        <wps:bodyPr lIns="0" rIns="0" tIns="0" bIns="0">
                          <a:noAutofit/>
                        </wps:bodyPr>
                      </wps:wsp>
                      <wps:wsp>
                        <wps:cNvSpPr/>
                        <wps:spPr>
                          <a:xfrm>
                            <a:off x="1045800" y="1154520"/>
                            <a:ext cx="6037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200" y="1239480"/>
                            <a:ext cx="3636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7640" y="1154520"/>
                            <a:ext cx="9702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wps:txbx>
                        <wps:bodyPr lIns="0" rIns="0" tIns="0" bIns="0">
                          <a:noAutofit/>
                        </wps:bodyPr>
                      </wps:wsp>
                      <wps:wsp>
                        <wps:cNvSpPr/>
                        <wps:spPr>
                          <a:xfrm>
                            <a:off x="2353320" y="113616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5395680" y="1155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wps:txbx>
                        <wps:bodyPr lIns="0" rIns="0" tIns="0" bIns="0">
                          <a:noAutofit/>
                        </wps:bodyPr>
                      </wps:wsp>
                      <wps:wsp>
                        <wps:cNvSpPr/>
                        <wps:spPr>
                          <a:xfrm>
                            <a:off x="3958560" y="1155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2530440" y="11556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18.00</w:t>
                              </w:r>
                            </w:p>
                          </w:txbxContent>
                        </wps:txbx>
                        <wps:bodyPr lIns="0" rIns="0" tIns="0" bIns="0">
                          <a:noAutofit/>
                        </wps:bodyPr>
                      </wps:wsp>
                      <wps:wsp>
                        <wps:cNvSpPr/>
                        <wps:spPr>
                          <a:xfrm>
                            <a:off x="4677480" y="1155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0.63</w:t>
                              </w:r>
                            </w:p>
                          </w:txbxContent>
                        </wps:txbx>
                        <wps:bodyPr lIns="0" rIns="0" tIns="0" bIns="0">
                          <a:noAutofit/>
                        </wps:bodyPr>
                      </wps:wsp>
                      <wps:wsp>
                        <wps:cNvSpPr/>
                        <wps:spPr>
                          <a:xfrm>
                            <a:off x="3240360" y="1155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w:t>
                              </w:r>
                            </w:p>
                          </w:txbxContent>
                        </wps:txbx>
                        <wps:bodyPr lIns="0" rIns="0" tIns="0" bIns="0">
                          <a:noAutofit/>
                        </wps:bodyPr>
                      </wps:wsp>
                      <wps:wsp>
                        <wps:cNvSpPr/>
                        <wps:spPr>
                          <a:xfrm>
                            <a:off x="1045800" y="1307520"/>
                            <a:ext cx="6037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wps:txbx>
                        <wps:bodyPr lIns="0" rIns="0" tIns="0" bIns="0">
                          <a:noAutofit/>
                        </wps:bodyPr>
                      </wps:wsp>
                      <wps:wsp>
                        <wps:cNvSpPr/>
                        <wps:spPr>
                          <a:xfrm>
                            <a:off x="1510200" y="1392480"/>
                            <a:ext cx="36360" cy="720"/>
                          </a:xfrm>
                          <a:custGeom>
                            <a:avLst/>
                            <a:gdLst/>
                            <a:ahLst/>
                            <a:rect l="l" t="t" r="r" b="b"/>
                            <a:pathLst>
                              <a:path w="37960" h="0">
                                <a:moveTo>
                                  <a:pt x="0" y="0"/>
                                </a:moveTo>
                                <a:lnTo>
                                  <a:pt x="37960" y="0"/>
                                </a:lnTo>
                              </a:path>
                            </a:pathLst>
                          </a:custGeom>
                          <a:noFill/>
                          <a:ln w="5040">
                            <a:solidFill>
                              <a:srgbClr val="ffffff"/>
                            </a:solidFill>
                          </a:ln>
                        </wps:spPr>
                        <wps:style>
                          <a:lnRef idx="1"/>
                          <a:fillRef idx="0"/>
                          <a:effectRef idx="0"/>
                          <a:fontRef idx="minor"/>
                        </wps:style>
                        <wps:bodyPr/>
                      </wps:wsp>
                      <wps:wsp>
                        <wps:cNvSpPr/>
                        <wps:spPr>
                          <a:xfrm>
                            <a:off x="1547640" y="1307520"/>
                            <a:ext cx="8298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wps:txbx>
                        <wps:bodyPr lIns="0" rIns="0" tIns="0" bIns="0">
                          <a:noAutofit/>
                        </wps:bodyPr>
                      </wps:wsp>
                      <wps:wsp>
                        <wps:cNvSpPr/>
                        <wps:spPr>
                          <a:xfrm>
                            <a:off x="2353320" y="128916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13086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3760" y="13086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13086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13086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3958560" y="1308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5395680" y="1308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wps:txbx>
                        <wps:bodyPr lIns="0" rIns="0" tIns="0" bIns="0">
                          <a:noAutofit/>
                        </wps:bodyPr>
                      </wps:wsp>
                      <wps:wsp>
                        <wps:cNvSpPr/>
                        <wps:spPr>
                          <a:xfrm>
                            <a:off x="3405600" y="13086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4677480" y="1308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wps:txbx>
                        <wps:bodyPr lIns="0" rIns="0" tIns="0" bIns="0">
                          <a:noAutofit/>
                        </wps:bodyPr>
                      </wps:wsp>
                      <wps:wsp>
                        <wps:cNvSpPr/>
                        <wps:spPr>
                          <a:xfrm>
                            <a:off x="1045800" y="1460520"/>
                            <a:ext cx="6444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wps:txbx>
                        <wps:bodyPr lIns="0" rIns="0" tIns="0" bIns="0">
                          <a:noAutofit/>
                        </wps:bodyPr>
                      </wps:wsp>
                      <wps:wsp>
                        <wps:cNvSpPr/>
                        <wps:spPr>
                          <a:xfrm>
                            <a:off x="1577880" y="1460520"/>
                            <a:ext cx="2509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wps:txbx>
                        <wps:bodyPr lIns="0" rIns="0" tIns="0" bIns="0">
                          <a:noAutofit/>
                        </wps:bodyPr>
                      </wps:wsp>
                      <wps:wsp>
                        <wps:cNvSpPr/>
                        <wps:spPr>
                          <a:xfrm>
                            <a:off x="2353320" y="1442160"/>
                            <a:ext cx="720" cy="151200"/>
                          </a:xfrm>
                          <a:custGeom>
                            <a:avLst/>
                            <a:gdLst/>
                            <a:ahLst/>
                            <a:rect l="l" t="t" r="r" b="b"/>
                            <a:pathLst>
                              <a:path w="0" h="153098">
                                <a:moveTo>
                                  <a:pt x="0" y="153098"/>
                                </a:moveTo>
                                <a:lnTo>
                                  <a:pt x="0" y="0"/>
                                </a:lnTo>
                              </a:path>
                            </a:pathLst>
                          </a:custGeom>
                          <a:noFill/>
                          <a:ln w="5040">
                            <a:solidFill>
                              <a:srgbClr val="ffffff"/>
                            </a:solidFill>
                          </a:ln>
                        </wps:spPr>
                        <wps:style>
                          <a:lnRef idx="1"/>
                          <a:fillRef idx="0"/>
                          <a:effectRef idx="0"/>
                          <a:fontRef idx="minor"/>
                        </wps:style>
                        <wps:bodyPr/>
                      </wps:wsp>
                      <wps:wsp>
                        <wps:cNvSpPr/>
                        <wps:spPr>
                          <a:xfrm>
                            <a:off x="2530440" y="1461600"/>
                            <a:ext cx="3816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wps:txbx>
                        <wps:bodyPr lIns="0" rIns="0" tIns="0" bIns="0">
                          <a:noAutofit/>
                        </wps:bodyPr>
                      </wps:wsp>
                      <wps:wsp>
                        <wps:cNvSpPr/>
                        <wps:spPr>
                          <a:xfrm>
                            <a:off x="3173760" y="1461600"/>
                            <a:ext cx="1288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wps:txbx>
                        <wps:bodyPr lIns="0" rIns="0" tIns="0" bIns="0">
                          <a:noAutofit/>
                        </wps:bodyPr>
                      </wps:wsp>
                      <wps:wsp>
                        <wps:cNvSpPr/>
                        <wps:spPr>
                          <a:xfrm>
                            <a:off x="3306960" y="1461600"/>
                            <a:ext cx="824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wps:txbx>
                        <wps:bodyPr lIns="0" rIns="0" tIns="0" bIns="0">
                          <a:noAutofit/>
                        </wps:bodyPr>
                      </wps:wsp>
                      <wps:wsp>
                        <wps:cNvSpPr/>
                        <wps:spPr>
                          <a:xfrm>
                            <a:off x="3370680" y="1461600"/>
                            <a:ext cx="4500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wps:txbx>
                        <wps:bodyPr lIns="0" rIns="0" tIns="0" bIns="0">
                          <a:noAutofit/>
                        </wps:bodyPr>
                      </wps:wsp>
                      <wps:wsp>
                        <wps:cNvSpPr/>
                        <wps:spPr>
                          <a:xfrm>
                            <a:off x="4677480" y="1461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w:t>
                              </w:r>
                            </w:p>
                          </w:txbxContent>
                        </wps:txbx>
                        <wps:bodyPr lIns="0" rIns="0" tIns="0" bIns="0">
                          <a:noAutofit/>
                        </wps:bodyPr>
                      </wps:wsp>
                      <wps:wsp>
                        <wps:cNvSpPr/>
                        <wps:spPr>
                          <a:xfrm>
                            <a:off x="3405600" y="146160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wps:txbx>
                        <wps:bodyPr lIns="0" rIns="0" tIns="0" bIns="0">
                          <a:noAutofit/>
                        </wps:bodyPr>
                      </wps:wsp>
                      <wps:wsp>
                        <wps:cNvSpPr/>
                        <wps:spPr>
                          <a:xfrm>
                            <a:off x="5395680" y="1461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wps:txbx>
                        <wps:bodyPr lIns="0" rIns="0" tIns="0" bIns="0">
                          <a:noAutofit/>
                        </wps:bodyPr>
                      </wps:wsp>
                      <wps:wsp>
                        <wps:cNvSpPr/>
                        <wps:spPr>
                          <a:xfrm>
                            <a:off x="3958560" y="1461600"/>
                            <a:ext cx="29736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wps:txbx>
                        <wps:bodyPr lIns="0" rIns="0" tIns="0" bIns="0">
                          <a:noAutofit/>
                        </wps:bodyPr>
                      </wps:wsp>
                      <wps:wsp>
                        <wps:cNvSpPr/>
                        <wps:spPr>
                          <a:xfrm>
                            <a:off x="0" y="1621800"/>
                            <a:ext cx="5864760" cy="720"/>
                          </a:xfrm>
                          <a:custGeom>
                            <a:avLst/>
                            <a:gdLst/>
                            <a:ahLst/>
                            <a:rect l="l" t="t" r="r" b="b"/>
                            <a:pathLst>
                              <a:path w="5863768" h="0">
                                <a:moveTo>
                                  <a:pt x="0" y="0"/>
                                </a:moveTo>
                                <a:lnTo>
                                  <a:pt x="5863768" y="0"/>
                                </a:lnTo>
                              </a:path>
                            </a:pathLst>
                          </a:custGeom>
                          <a:noFill/>
                          <a:ln w="1008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127.8pt;width:461.8pt;height:127.75pt" coordorigin="0,-2556" coordsize="9236,2555">
                <v:rect id="shape_0" stroked="f" style="position:absolute;left:227;top:-2286;width:1066;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Australia</w:t>
                        </w:r>
                      </w:p>
                    </w:txbxContent>
                  </v:textbox>
                  <w10:wrap type="square"/>
                  <v:fill o:detectmouseclick="t" on="false"/>
                  <v:stroke color="#3465a4" joinstyle="round" endcap="flat"/>
                </v:rect>
                <v:rect id="shape_0" stroked="f" style="position:absolute;left:113;top:-2047;width:9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1068;top:-2047;width:9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191;top:-2047;width:1162;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Chessman</w:t>
                        </w:r>
                      </w:p>
                    </w:txbxContent>
                  </v:textbox>
                  <w10:wrap type="square"/>
                  <v:fill o:detectmouseclick="t" on="false"/>
                  <v:stroke color="#3465a4" joinstyle="round" endcap="flat"/>
                </v:rect>
                <v:rect id="shape_0" stroked="f" style="position:absolute;left:1647;top:-2527;width:65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2527;width:15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7366;top:-252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0.45</w:t>
                        </w:r>
                      </w:p>
                    </w:txbxContent>
                  </v:textbox>
                  <w10:wrap type="square"/>
                  <v:fill o:detectmouseclick="t" on="false"/>
                  <v:stroke color="#3465a4" joinstyle="round" endcap="flat"/>
                </v:rect>
                <v:rect id="shape_0" stroked="f" style="position:absolute;left:6234;top:-252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7;top:-252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v:textbox>
                  <w10:wrap type="square"/>
                  <v:fill o:detectmouseclick="t" on="false"/>
                  <v:stroke color="#3465a4" joinstyle="round" endcap="flat"/>
                </v:rect>
                <v:rect id="shape_0" stroked="f" style="position:absolute;left:5103;top:-252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v:textbox>
                  <w10:wrap type="square"/>
                  <v:fill o:detectmouseclick="t" on="false"/>
                  <v:stroke color="#3465a4" joinstyle="round" endcap="flat"/>
                </v:rect>
                <v:rect id="shape_0" stroked="f" style="position:absolute;left:3985;top:-2525;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16.53</w:t>
                        </w:r>
                      </w:p>
                    </w:txbxContent>
                  </v:textbox>
                  <w10:wrap type="square"/>
                  <v:fill o:detectmouseclick="t" on="false"/>
                  <v:stroke color="#3465a4" joinstyle="round" endcap="flat"/>
                </v:rect>
                <v:rect id="shape_0" stroked="f" style="position:absolute;left:1647;top:-2286;width:65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2286;width:1308;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5;top:-2284;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8;top:-2284;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2284;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2284;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363;top:-2284;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7366;top:-2284;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v:textbox>
                  <w10:wrap type="square"/>
                  <v:fill o:detectmouseclick="t" on="false"/>
                  <v:stroke color="#3465a4" joinstyle="round" endcap="flat"/>
                </v:rect>
                <v:rect id="shape_0" stroked="f" style="position:absolute;left:6234;top:-2284;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v:textbox>
                  <w10:wrap type="square"/>
                  <v:fill o:detectmouseclick="t" on="false"/>
                  <v:stroke color="#3465a4" joinstyle="round" endcap="flat"/>
                </v:rect>
                <v:rect id="shape_0" stroked="f" style="position:absolute;left:8497;top:-2284;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w:t>
                        </w:r>
                      </w:p>
                    </w:txbxContent>
                  </v:textbox>
                  <w10:wrap type="square"/>
                  <v:fill o:detectmouseclick="t" on="false"/>
                  <v:stroke color="#3465a4" joinstyle="round" endcap="flat"/>
                </v:rect>
                <v:rect id="shape_0" stroked="f" style="position:absolute;left:1647;top:-2045;width:95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7;top:-2045;width:152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7366;top:-2043;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0.42</w:t>
                        </w:r>
                      </w:p>
                    </w:txbxContent>
                  </v:textbox>
                  <w10:wrap type="square"/>
                  <v:fill o:detectmouseclick="t" on="false"/>
                  <v:stroke color="#3465a4" joinstyle="round" endcap="flat"/>
                </v:rect>
                <v:rect id="shape_0" stroked="f" style="position:absolute;left:5103;top:-2043;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0.01</w:t>
                        </w:r>
                      </w:p>
                    </w:txbxContent>
                  </v:textbox>
                  <w10:wrap type="square"/>
                  <v:fill o:detectmouseclick="t" on="false"/>
                  <v:stroke color="#3465a4" joinstyle="round" endcap="flat"/>
                </v:rect>
                <v:rect id="shape_0" stroked="f" style="position:absolute;left:3985;top:-2043;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17.90</w:t>
                        </w:r>
                      </w:p>
                    </w:txbxContent>
                  </v:textbox>
                  <w10:wrap type="square"/>
                  <v:fill o:detectmouseclick="t" on="false"/>
                  <v:stroke color="#3465a4" joinstyle="round" endcap="flat"/>
                </v:rect>
                <v:rect id="shape_0" stroked="f" style="position:absolute;left:6234;top:-2043;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7;top:-2043;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1647;top:-1805;width:95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7;top:-1805;width:1306;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5;top:-1802;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8;top:-1802;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1802;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1802;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7366;top:-1802;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0.33</w:t>
                        </w:r>
                      </w:p>
                    </w:txbxContent>
                  </v:textbox>
                  <w10:wrap type="square"/>
                  <v:fill o:detectmouseclick="t" on="false"/>
                  <v:stroke color="#3465a4" joinstyle="round" endcap="flat"/>
                </v:rect>
                <v:rect id="shape_0" stroked="f" style="position:absolute;left:6234;top:-1802;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0.99</w:t>
                        </w:r>
                      </w:p>
                    </w:txbxContent>
                  </v:textbox>
                  <w10:wrap type="square"/>
                  <v:fill o:detectmouseclick="t" on="false"/>
                  <v:stroke color="#3465a4" joinstyle="round" endcap="flat"/>
                </v:rect>
                <v:rect id="shape_0" stroked="f" style="position:absolute;left:8497;top:-1802;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0.22</w:t>
                        </w:r>
                      </w:p>
                    </w:txbxContent>
                  </v:textbox>
                  <w10:wrap type="square"/>
                  <v:fill o:detectmouseclick="t" on="false"/>
                  <v:stroke color="#3465a4" joinstyle="round" endcap="flat"/>
                </v:rect>
                <v:rect id="shape_0" stroked="f" style="position:absolute;left:5363;top:-1802;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1647;top:-1563;width:1014;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v:textbox>
                  <w10:wrap type="square"/>
                  <v:fill o:detectmouseclick="t" on="false"/>
                  <v:stroke color="#3465a4" joinstyle="round" endcap="flat"/>
                </v:rect>
                <v:rect id="shape_0" stroked="f" style="position:absolute;left:2485;top:-1563;width:394;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v:textbox>
                  <w10:wrap type="square"/>
                  <v:fill o:detectmouseclick="t" on="false"/>
                  <v:stroke color="#3465a4" joinstyle="round" endcap="flat"/>
                </v:rect>
                <v:rect id="shape_0" stroked="f" style="position:absolute;left:3985;top:-1561;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23.24</w:t>
                        </w:r>
                      </w:p>
                    </w:txbxContent>
                  </v:textbox>
                  <w10:wrap type="square"/>
                  <v:fill o:detectmouseclick="t" on="false"/>
                  <v:stroke color="#3465a4" joinstyle="round" endcap="flat"/>
                </v:rect>
                <v:rect id="shape_0" stroked="f" style="position:absolute;left:4998;top:-1561;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1561;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1561;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6234;top:-1561;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7366;top:-1561;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0.34</w:t>
                        </w:r>
                      </w:p>
                    </w:txbxContent>
                  </v:textbox>
                  <w10:wrap type="square"/>
                  <v:fill o:detectmouseclick="t" on="false"/>
                  <v:stroke color="#3465a4" joinstyle="round" endcap="flat"/>
                </v:rect>
                <v:rect id="shape_0" stroked="f" style="position:absolute;left:5363;top:-1561;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7;top:-1561;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w:t>
                        </w:r>
                      </w:p>
                    </w:txbxContent>
                  </v:textbox>
                  <w10:wrap type="square"/>
                  <v:fill o:detectmouseclick="t" on="false"/>
                  <v:stroke color="#3465a4" joinstyle="round" endcap="flat"/>
                </v:rect>
                <v:rect id="shape_0" stroked="f" style="position:absolute;left:113;top:-979;width:1735;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NorthAmerica</w:t>
                        </w:r>
                      </w:p>
                    </w:txbxContent>
                  </v:textbox>
                  <w10:wrap type="square"/>
                  <v:fill o:detectmouseclick="t" on="false"/>
                  <v:stroke color="#3465a4" joinstyle="round" endcap="flat"/>
                </v:rect>
                <v:rect id="shape_0" stroked="f" style="position:absolute;left:987;top:-740;width:9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470;top:-740;width:9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47;top:-740;width:58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Pyne</w:t>
                        </w:r>
                      </w:p>
                    </w:txbxContent>
                  </v:textbox>
                  <w10:wrap type="square"/>
                  <v:fill o:detectmouseclick="t" on="false"/>
                  <v:stroke color="#3465a4" joinstyle="round" endcap="flat"/>
                </v:rect>
                <v:rect id="shape_0" stroked="f" style="position:absolute;left:1647;top:-1220;width:65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1220;width:15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5103;top:-1218;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w:t>
                        </w:r>
                      </w:p>
                    </w:txbxContent>
                  </v:textbox>
                  <w10:wrap type="square"/>
                  <v:fill o:detectmouseclick="t" on="false"/>
                  <v:stroke color="#3465a4" joinstyle="round" endcap="flat"/>
                </v:rect>
                <v:rect id="shape_0" stroked="f" style="position:absolute;left:6234;top:-1218;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3985;top:-1218;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15.33</w:t>
                        </w:r>
                      </w:p>
                    </w:txbxContent>
                  </v:textbox>
                  <w10:wrap type="square"/>
                  <v:fill o:detectmouseclick="t" on="false"/>
                  <v:stroke color="#3465a4" joinstyle="round" endcap="flat"/>
                </v:rect>
                <v:rect id="shape_0" stroked="f" style="position:absolute;left:8497;top:-1218;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7366;top:-1218;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0.70</w:t>
                        </w:r>
                      </w:p>
                    </w:txbxContent>
                  </v:textbox>
                  <w10:wrap type="square"/>
                  <v:fill o:detectmouseclick="t" on="false"/>
                  <v:stroke color="#3465a4" joinstyle="round" endcap="flat"/>
                </v:rect>
                <v:rect id="shape_0" stroked="f" style="position:absolute;left:1647;top:-979;width:65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direct</w:t>
                        </w:r>
                      </w:p>
                    </w:txbxContent>
                  </v:textbox>
                  <w10:wrap type="square"/>
                  <v:fill o:detectmouseclick="t" on="false"/>
                  <v:stroke color="#3465a4" joinstyle="round" endcap="flat"/>
                </v:rect>
                <v:rect id="shape_0" stroked="f" style="position:absolute;left:2218;top:-979;width:1308;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5;top:-977;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8;top:-977;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977;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977;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5363;top:-977;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7;top:-977;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0.26</w:t>
                        </w:r>
                      </w:p>
                    </w:txbxContent>
                  </v:textbox>
                  <w10:wrap type="square"/>
                  <v:fill o:detectmouseclick="t" on="false"/>
                  <v:stroke color="#3465a4" joinstyle="round" endcap="flat"/>
                </v:rect>
                <v:rect id="shape_0" stroked="f" style="position:absolute;left:6234;top:-977;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7366;top:-977;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v:textbox>
                  <w10:wrap type="square"/>
                  <v:fill o:detectmouseclick="t" on="false"/>
                  <v:stroke color="#3465a4" joinstyle="round" endcap="flat"/>
                </v:rect>
                <v:rect id="shape_0" stroked="f" style="position:absolute;left:1647;top:-738;width:95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7;top:-738;width:152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agg(median)</w:t>
                        </w:r>
                      </w:p>
                    </w:txbxContent>
                  </v:textbox>
                  <w10:wrap type="square"/>
                  <v:fill o:detectmouseclick="t" on="false"/>
                  <v:stroke color="#3465a4" joinstyle="round" endcap="flat"/>
                </v:rect>
                <v:rect id="shape_0" stroked="f" style="position:absolute;left:8497;top:-736;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v:textbox>
                  <w10:wrap type="square"/>
                  <v:fill o:detectmouseclick="t" on="false"/>
                  <v:stroke color="#3465a4" joinstyle="round" endcap="flat"/>
                </v:rect>
                <v:rect id="shape_0" stroked="f" style="position:absolute;left:6234;top:-736;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3985;top:-736;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18.00</w:t>
                        </w:r>
                      </w:p>
                    </w:txbxContent>
                  </v:textbox>
                  <w10:wrap type="square"/>
                  <v:fill o:detectmouseclick="t" on="false"/>
                  <v:stroke color="#3465a4" joinstyle="round" endcap="flat"/>
                </v:rect>
                <v:rect id="shape_0" stroked="f" style="position:absolute;left:7366;top:-736;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0.63</w:t>
                        </w:r>
                      </w:p>
                    </w:txbxContent>
                  </v:textbox>
                  <w10:wrap type="square"/>
                  <v:fill o:detectmouseclick="t" on="false"/>
                  <v:stroke color="#3465a4" joinstyle="round" endcap="flat"/>
                </v:rect>
                <v:rect id="shape_0" stroked="f" style="position:absolute;left:5103;top:-736;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w:t>
                        </w:r>
                      </w:p>
                    </w:txbxContent>
                  </v:textbox>
                  <w10:wrap type="square"/>
                  <v:fill o:detectmouseclick="t" on="false"/>
                  <v:stroke color="#3465a4" joinstyle="round" endcap="flat"/>
                </v:rect>
                <v:rect id="shape_0" stroked="f" style="position:absolute;left:1647;top:-497;width:95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stepwise</w:t>
                        </w:r>
                      </w:p>
                    </w:txbxContent>
                  </v:textbox>
                  <w10:wrap type="square"/>
                  <v:fill o:detectmouseclick="t" on="false"/>
                  <v:stroke color="#3465a4" joinstyle="round" endcap="flat"/>
                </v:rect>
                <v:rect id="shape_0" stroked="f" style="position:absolute;left:2437;top:-497;width:1306;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agg(mean)</w:t>
                        </w:r>
                      </w:p>
                    </w:txbxContent>
                  </v:textbox>
                  <w10:wrap type="square"/>
                  <v:fill o:detectmouseclick="t" on="false"/>
                  <v:stroke color="#3465a4" joinstyle="round" endcap="flat"/>
                </v:rect>
                <v:rect id="shape_0" stroked="f" style="position:absolute;left:3985;top:-495;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8;top:-495;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495;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495;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6234;top:-49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rect id="shape_0" stroked="f" style="position:absolute;left:8497;top:-49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0.27</w:t>
                        </w:r>
                      </w:p>
                    </w:txbxContent>
                  </v:textbox>
                  <w10:wrap type="square"/>
                  <v:fill o:detectmouseclick="t" on="false"/>
                  <v:stroke color="#3465a4" joinstyle="round" endcap="flat"/>
                </v:rect>
                <v:rect id="shape_0" stroked="f" style="position:absolute;left:5363;top:-495;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7366;top:-49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0.30</w:t>
                        </w:r>
                      </w:p>
                    </w:txbxContent>
                  </v:textbox>
                  <w10:wrap type="square"/>
                  <v:fill o:detectmouseclick="t" on="false"/>
                  <v:stroke color="#3465a4" joinstyle="round" endcap="flat"/>
                </v:rect>
                <v:rect id="shape_0" stroked="f" style="position:absolute;left:1647;top:-256;width:1014;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weighted</w:t>
                        </w:r>
                      </w:p>
                    </w:txbxContent>
                  </v:textbox>
                  <w10:wrap type="square"/>
                  <v:fill o:detectmouseclick="t" on="false"/>
                  <v:stroke color="#3465a4" joinstyle="round" endcap="flat"/>
                </v:rect>
                <v:rect id="shape_0" stroked="f" style="position:absolute;left:2485;top:-256;width:394;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agg</w:t>
                        </w:r>
                      </w:p>
                    </w:txbxContent>
                  </v:textbox>
                  <w10:wrap type="square"/>
                  <v:fill o:detectmouseclick="t" on="false"/>
                  <v:stroke color="#3465a4" joinstyle="round" endcap="flat"/>
                </v:rect>
                <v:rect id="shape_0" stroked="f" style="position:absolute;left:3985;top:-255;width:600;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47.00</w:t>
                        </w:r>
                      </w:p>
                    </w:txbxContent>
                  </v:textbox>
                  <w10:wrap type="square"/>
                  <v:fill o:detectmouseclick="t" on="false"/>
                  <v:stroke color="#3465a4" joinstyle="round" endcap="flat"/>
                </v:rect>
                <v:rect id="shape_0" stroked="f" style="position:absolute;left:4998;top:-255;width:202;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&lt;</w:t>
                        </w:r>
                      </w:p>
                    </w:txbxContent>
                  </v:textbox>
                  <w10:wrap type="square"/>
                  <v:fill o:detectmouseclick="t" on="false"/>
                  <v:stroke color="#3465a4" joinstyle="round" endcap="flat"/>
                </v:rect>
                <v:rect id="shape_0" stroked="f" style="position:absolute;left:5208;top:-255;width:129;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w:t>
                        </w:r>
                      </w:p>
                    </w:txbxContent>
                  </v:textbox>
                  <w10:wrap type="square"/>
                  <v:fill o:detectmouseclick="t" on="false"/>
                  <v:stroke color="#3465a4" joinstyle="round" endcap="flat"/>
                </v:rect>
                <v:rect id="shape_0" stroked="f" style="position:absolute;left:5308;top:-255;width:70;height:231;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w:t>
                        </w:r>
                      </w:p>
                    </w:txbxContent>
                  </v:textbox>
                  <w10:wrap type="square"/>
                  <v:fill o:detectmouseclick="t" on="false"/>
                  <v:stroke color="#3465a4" joinstyle="round" endcap="flat"/>
                </v:rect>
                <v:rect id="shape_0" stroked="f" style="position:absolute;left:7366;top:-25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w:t>
                        </w:r>
                      </w:p>
                    </w:txbxContent>
                  </v:textbox>
                  <w10:wrap type="square"/>
                  <v:fill o:detectmouseclick="t" on="false"/>
                  <v:stroke color="#3465a4" joinstyle="round" endcap="flat"/>
                </v:rect>
                <v:rect id="shape_0" stroked="f" style="position:absolute;left:5363;top:-255;width:261;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w:t>
                        </w:r>
                      </w:p>
                    </w:txbxContent>
                  </v:textbox>
                  <w10:wrap type="square"/>
                  <v:fill o:detectmouseclick="t" on="false"/>
                  <v:stroke color="#3465a4" joinstyle="round" endcap="flat"/>
                </v:rect>
                <v:rect id="shape_0" stroked="f" style="position:absolute;left:8497;top:-25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0.28</w:t>
                        </w:r>
                      </w:p>
                    </w:txbxContent>
                  </v:textbox>
                  <w10:wrap type="square"/>
                  <v:fill o:detectmouseclick="t" on="false"/>
                  <v:stroke color="#3465a4" joinstyle="round" endcap="flat"/>
                </v:rect>
                <v:rect id="shape_0" stroked="f" style="position:absolute;left:6234;top:-255;width:467;height:231;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1.00</w:t>
                        </w:r>
                      </w:p>
                    </w:txbxContent>
                  </v:textbox>
                  <w10:wrap type="square"/>
                  <v:fill o:detectmouseclick="t" on="false"/>
                  <v:stroke color="#3465a4" joinstyle="round" endcap="flat"/>
                </v:rect>
              </v:group>
            </w:pict>
          </mc:Fallback>
        </mc:AlternateContent>
      </w:r>
    </w:p>
    <w:p>
      <w:pPr>
        <w:pStyle w:val="Normal"/>
        <w:spacing w:lineRule="auto" w:line="259" w:before="0" w:after="0"/>
        <w:ind w:left="0" w:right="-367" w:hanging="0"/>
        <w:jc w:val="left"/>
        <w:rPr/>
      </w:pPr>
      <w:r>
        <w:rPr/>
      </w:r>
    </w:p>
    <w:p>
      <w:pPr>
        <w:pStyle w:val="Normal"/>
        <w:spacing w:lineRule="auto" w:line="259" w:before="0" w:after="0"/>
        <w:ind w:left="0" w:right="-367" w:hanging="0"/>
        <w:jc w:val="left"/>
        <w:rPr/>
      </w:pPr>
      <w:r>
        <w:rPr/>
      </w:r>
    </w:p>
    <w:p>
      <w:pPr>
        <w:pStyle w:val="Normal"/>
        <w:spacing w:lineRule="auto" w:line="259" w:before="0" w:after="0"/>
        <w:ind w:left="0" w:right="-367" w:hanging="0"/>
        <w:jc w:val="left"/>
        <w:rPr/>
      </w:pPr>
      <w:r>
        <w:rPr/>
      </w:r>
    </w:p>
    <w:p>
      <w:pPr>
        <w:pStyle w:val="Normal"/>
        <w:spacing w:lineRule="auto" w:line="259" w:before="0" w:after="539"/>
        <w:ind w:left="0" w:right="-488" w:hanging="0"/>
        <w:jc w:val="left"/>
        <w:rPr/>
      </w:pPr>
      <w:r>
        <w:rPr/>
        <w:drawing>
          <wp:inline distT="0" distB="0" distL="0" distR="0">
            <wp:extent cx="5939790" cy="3599815"/>
            <wp:effectExtent l="0" t="0" r="0" b="0"/>
            <wp:docPr id="7" name="Picture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73" descr=""/>
                    <pic:cNvPicPr>
                      <a:picLocks noChangeAspect="1" noChangeArrowheads="1"/>
                    </pic:cNvPicPr>
                  </pic:nvPicPr>
                  <pic:blipFill>
                    <a:blip r:embed="rId7"/>
                    <a:stretch>
                      <a:fillRect/>
                    </a:stretch>
                  </pic:blipFill>
                  <pic:spPr bwMode="auto">
                    <a:xfrm>
                      <a:off x="0" y="0"/>
                      <a:ext cx="5939790" cy="3599815"/>
                    </a:xfrm>
                    <a:prstGeom prst="rect">
                      <a:avLst/>
                    </a:prstGeom>
                  </pic:spPr>
                </pic:pic>
              </a:graphicData>
            </a:graphic>
          </wp:inline>
        </w:drawing>
      </w:r>
    </w:p>
    <w:p>
      <w:pPr>
        <w:pStyle w:val="Normal"/>
        <w:ind w:left="-5" w:right="284" w:hanging="10"/>
        <w:rPr>
          <w:lang w:val="en-US"/>
        </w:rPr>
      </w:pPr>
      <w:r>
        <w:rPr>
          <w:lang w:val="en-US"/>
        </w:rPr>
        <w:t xml:space="preserve">Figure 2: Absolute differences in trait affinities between aggregated traits and traits assigned at family-level by Chessman et al. </w:t>
      </w:r>
      <w:r>
        <w:rPr/>
        <w:t xml:space="preserve">[32] for the grouping features feeding mode and body size. </w:t>
      </w:r>
      <w:r>
        <w:rPr>
          <w:lang w:val="en-US"/>
        </w:rPr>
        <w:t>N denotes the number of cases for each comparison. The black dot indicates the mean absolute difference, the error bars the standard deviation. The gray horizontal lines show the 25th, 50th and 75th quantile of the density estimate.</w:t>
      </w:r>
    </w:p>
    <w:p>
      <w:pPr>
        <w:pStyle w:val="Normal"/>
        <w:spacing w:lineRule="auto" w:line="259" w:before="0" w:after="539"/>
        <w:ind w:left="0" w:right="-487" w:hanging="0"/>
        <w:jc w:val="left"/>
        <w:rPr/>
      </w:pPr>
      <w:r>
        <w:rPr/>
        <w:drawing>
          <wp:inline distT="0" distB="0" distL="0" distR="0">
            <wp:extent cx="5939790" cy="3600450"/>
            <wp:effectExtent l="0" t="0" r="0" b="0"/>
            <wp:docPr id="8" name="Picture 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84" descr=""/>
                    <pic:cNvPicPr>
                      <a:picLocks noChangeAspect="1" noChangeArrowheads="1"/>
                    </pic:cNvPicPr>
                  </pic:nvPicPr>
                  <pic:blipFill>
                    <a:blip r:embed="rId8"/>
                    <a:stretch>
                      <a:fillRect/>
                    </a:stretch>
                  </pic:blipFill>
                  <pic:spPr bwMode="auto">
                    <a:xfrm>
                      <a:off x="0" y="0"/>
                      <a:ext cx="5939790" cy="3600450"/>
                    </a:xfrm>
                    <a:prstGeom prst="rect">
                      <a:avLst/>
                    </a:prstGeom>
                  </pic:spPr>
                </pic:pic>
              </a:graphicData>
            </a:graphic>
          </wp:inline>
        </w:drawing>
      </w:r>
    </w:p>
    <w:p>
      <w:pPr>
        <w:pStyle w:val="Normal"/>
        <w:ind w:left="-5" w:right="284" w:hanging="10"/>
        <w:rPr/>
      </w:pPr>
      <w:r>
        <w:rPr>
          <w:lang w:val="en-US"/>
        </w:rPr>
        <w:t>Figure 3: Absolute differences in trait affinities between aggregated traits and traits assigned at family-level in the North American dataset for the grouping features feeding mode, locomotion, respiration, body size and voltinism. N denotes the number of cases for each comparison. The black dot indicates the mean absolute difference, the error bars the standard deviation. The gray horizontal lines show the 25th, 50th and 75th quantile of the density estimate.</w:t>
      </w:r>
    </w:p>
    <w:p>
      <w:pPr>
        <w:pStyle w:val="Normal"/>
        <w:ind w:left="-5" w:right="284" w:hanging="10"/>
        <w:rPr>
          <w:lang w:val="en-US"/>
        </w:rPr>
      </w:pPr>
      <w:r>
        <w:rPr>
          <w:lang w:val="en-US"/>
        </w:rPr>
      </w:r>
    </w:p>
    <w:p>
      <w:pPr>
        <w:pStyle w:val="Normal"/>
        <w:ind w:left="-5" w:right="284" w:hanging="10"/>
        <w:rPr>
          <w:lang w:val="en-US"/>
        </w:rPr>
      </w:pPr>
      <w:r>
        <w:rPr>
          <w:lang w:val="en-US"/>
        </w:rPr>
      </w:r>
    </w:p>
    <w:p>
      <w:pPr>
        <w:pStyle w:val="Berschrift2"/>
        <w:ind w:left="-5" w:right="299" w:hanging="10"/>
        <w:rPr/>
      </w:pPr>
      <w:r>
        <w:rPr>
          <w:lang w:val="en-US"/>
        </w:rPr>
        <w:t>Re-analysis of Szöcs et al. 2014 using harmonized and aggregated grouping features</w:t>
      </w:r>
    </w:p>
    <w:p>
      <w:pPr>
        <w:pStyle w:val="Normal"/>
        <w:ind w:left="-5" w:right="284" w:hanging="10"/>
        <w:rPr>
          <w:lang w:val="en-US"/>
        </w:rPr>
      </w:pPr>
      <w:r>
        <w:rPr>
          <w:lang w:val="en-US"/>
        </w:rPr>
        <w:t xml:space="preserve">Overall, using the harmonized grouping features lead only to slightly different results in comparison to the original analysis (Figure 4 and SI). According to the RDA of the trait composition sites with high salinity were characterized by multivoltine, ovivoparous, gill-respirating, and shredder species. Only species with the trait life cycle duration </w:t>
      </w:r>
      <w:r>
        <w:rPr>
          <w:i/>
          <w:lang w:val="en-US"/>
        </w:rPr>
        <w:t xml:space="preserve">&gt; </w:t>
      </w:r>
      <w:r>
        <w:rPr>
          <w:lang w:val="en-US"/>
        </w:rPr>
        <w:t xml:space="preserve">1 year fail to characterize sites with high salinization. Also, life cycle duration </w:t>
      </w:r>
      <w:r>
        <w:rPr>
          <w:i/>
          <w:lang w:val="en-US"/>
        </w:rPr>
        <w:t>&lt;</w:t>
      </w:r>
      <w:r>
        <w:rPr>
          <w:lang w:val="en-US"/>
        </w:rPr>
        <w:t>= 1 year is not anymore characterizing sites not impacted by salinity. Like in the original analysis, transition and upstream sites from the point source are characterized by univoltine species and species that lay their eggs in an aquatic environment. We constructed also the linear models of the original analyses, using the traits on the extremes of the conductivity axis and found results similar to the original analysis (Table S1 and S2).</w:t>
      </w:r>
    </w:p>
    <w:p>
      <w:pPr>
        <w:pStyle w:val="Normal"/>
        <w:ind w:left="-15" w:right="284" w:firstLine="299"/>
        <w:rPr>
          <w:lang w:val="en-US"/>
        </w:rPr>
      </w:pPr>
      <w:r>
        <w:rPr>
          <w:lang w:val="en-US"/>
        </w:rPr>
        <w:t>For every aggregation method compared, using at family-level aggregated traits did only slightly change the species scores compared to not aggregated traits (Figure 4). Hence, the interpretation of the trait composition is the same as when only using harmonized grouping features.</w:t>
      </w:r>
    </w:p>
    <w:p>
      <w:pPr>
        <w:pStyle w:val="Normal"/>
        <w:spacing w:lineRule="auto" w:line="259" w:before="0" w:after="539"/>
        <w:ind w:left="0" w:right="-488" w:hanging="0"/>
        <w:jc w:val="left"/>
        <w:rPr/>
      </w:pPr>
      <w:r>
        <w:rPr/>
        <w:drawing>
          <wp:inline distT="0" distB="0" distL="0" distR="0">
            <wp:extent cx="5939790" cy="3599815"/>
            <wp:effectExtent l="0" t="0" r="0" b="0"/>
            <wp:docPr id="9" name="Picture 9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12" descr=""/>
                    <pic:cNvPicPr>
                      <a:picLocks noChangeAspect="1" noChangeArrowheads="1"/>
                    </pic:cNvPicPr>
                  </pic:nvPicPr>
                  <pic:blipFill>
                    <a:blip r:embed="rId9"/>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lang w:val="en-US"/>
        </w:rPr>
        <w:t>Figure 4: Species scores obtained by RDA from the original analysis [9], using harmonized grouping features, and using harmonized grouping features with assigned trait affinities aggregated to familylevel.</w:t>
      </w:r>
    </w:p>
    <w:p>
      <w:pPr>
        <w:pStyle w:val="Normal"/>
        <w:ind w:left="-5" w:right="284" w:hanging="10"/>
        <w:rPr>
          <w:lang w:val="en-US"/>
        </w:rPr>
      </w:pPr>
      <w:r>
        <w:rPr>
          <w:lang w:val="en-US"/>
        </w:rPr>
      </w:r>
    </w:p>
    <w:p>
      <w:pPr>
        <w:pStyle w:val="Normal"/>
        <w:ind w:left="-5" w:right="284" w:hanging="10"/>
        <w:rPr>
          <w:lang w:val="en-US"/>
        </w:rPr>
      </w:pPr>
      <w:r>
        <w:rPr>
          <w:lang w:val="en-US"/>
        </w:rPr>
      </w:r>
    </w:p>
    <w:p>
      <w:pPr>
        <w:pStyle w:val="Berschrift2"/>
        <w:ind w:left="-5" w:right="299" w:hanging="10"/>
        <w:rPr>
          <w:lang w:val="en-US"/>
        </w:rPr>
      </w:pPr>
      <w:r>
        <w:rPr>
          <w:lang w:val="en-US"/>
        </w:rPr>
        <w:t>Discrepancies of invertebrate trait definitions</w:t>
      </w:r>
    </w:p>
    <w:p>
      <w:pPr>
        <w:pStyle w:val="Normal"/>
        <w:ind w:left="-5" w:right="284" w:hanging="10"/>
        <w:rPr>
          <w:lang w:val="en-US"/>
        </w:rPr>
      </w:pPr>
      <w:r>
        <w:rPr>
          <w:lang w:val="en-US"/>
        </w:rPr>
        <w:t>Definitions of the used grouping features and traits varied in their level of detail. The Freshwaterecology database, and databases from Tachet and Twardochleb et al. provided more detailed descriptions of their trait information compared to the databases from Vieira et al. and New Zealand. An exception is the Australian trait database which is a collection of seven trait datasets [16]. Thus, grouping features occur multiple times with varying differentiation into traits. Depending on the dataset trait information is described with more or less detail.</w:t>
      </w:r>
    </w:p>
    <w:p>
      <w:pPr>
        <w:pStyle w:val="Normal"/>
        <w:ind w:left="-15" w:right="284" w:firstLine="299"/>
        <w:rPr>
          <w:lang w:val="en-US"/>
        </w:rPr>
      </w:pPr>
      <w:r>
        <w:rPr>
          <w:lang w:val="en-US"/>
        </w:rPr>
        <w:t>The definition of grouping features varied across databases mainly concerning their differentiation into traits but also in their scope. We provide a summary of discrepancies in trait definitions in the appendix (Table S3). Both, differences in differentiation and scope can lead to discrepancies in trait definitions. For example, for the grouping feature feeding mode discrepancies arise because traits are assigned in different ways. Tachet defines predators as carvers, engulfers and swallowers. By contrast, in the North American (Twardochleb) database predators are defined as engulfers and carnivorous piercers. In turn, in the Tachet database, piercers are defined as a separate trait encompassing herbivorous and carnivorous piercers. Furthermore, the scope in the Freshwaterecology database for feeding mode is primarily on the food source of a species (except for filterers), while the other databases focus on the strategies of food acquisition. Therefore, the Freshwaterecology database defines e.g. predator as ”eating from prey”, while the other databases use the mouthpart morphology as basis of their definition. The Tachet database captures the food source in an additional grouping feature. Varying levels of differentiation are also present in all other investigated grouping features between the trait databases (Table 5 and Table S3). Locomotion definitions differ also in scope between databases. Freshwaterecology and New Zealand databases describe locomotion as the way of movement of an organism, Tachet as substrate relation, the North American (Vieira) as how organisms deal with flow, Australia as attachment, and the North American (Twardochleb) database includes among the way of movement also the location of movement. Similarly, regarding reproduction trait databases differ in their scope. Reproduction is captured in one grouping feature and defined as location of oviposit clutches and mode of reproduction in the Freshwaterecology and Tachet databases. North America (Vieira) provides information on the oviposition location but not on reproductive behavior. The Australian database report traits for reproductive behavior but also on oviposition site. The New Zealand database distinguishes three grouping features related to reproduction: reproductive technique, oviposition site (e.g. water surface, terrestrial), and egg/egg mass (e.g. free, cemented).</w:t>
      </w:r>
    </w:p>
    <w:p>
      <w:pPr>
        <w:pStyle w:val="Normal"/>
        <w:ind w:left="-15" w:right="284" w:firstLine="299"/>
        <w:rPr>
          <w:lang w:val="en-US"/>
        </w:rPr>
      </w:pPr>
      <w:r>
        <w:rPr>
          <w:lang w:val="en-US"/>
        </w:rPr>
        <w:t>Various codings of traits are used throughout the databases (e.g. binary, fuzzy, continuous). The freshwaterecology and Australian use different codings in their databases. Tachet and the New Zealand database use exclusively fuzzy coding. Both North American trait databases contain categorical grouping features that can be converted into traits using a binary coding (Table 5). Binary coding represents a simple approach in which a taxon either expresses a trait or not. Fuzzy coding characterizes the affinity of an organism to exert a certain trait. It is used to account for plasticity in traits, e.g. taking into account that traits can change over the development time of an organism. Usually, fuzzy coded affinities are converted into proportional values. Continuous coding is used for traits like body size.</w:t>
      </w:r>
    </w:p>
    <w:p>
      <w:pPr>
        <w:pStyle w:val="Normal"/>
        <w:spacing w:lineRule="auto" w:line="259" w:before="0" w:after="0"/>
        <w:ind w:left="61" w:right="0" w:hanging="0"/>
        <w:jc w:val="left"/>
        <w:rPr/>
      </w:pPr>
      <w:r>
        <w:rPr/>
        <mc:AlternateContent>
          <mc:Choice Requires="wpg">
            <w:drawing>
              <wp:inline distT="0" distB="0" distL="0" distR="0" wp14:anchorId="65174C35">
                <wp:extent cx="3755390" cy="7387590"/>
                <wp:effectExtent l="0" t="0" r="0" b="0"/>
                <wp:docPr id="10" name=""/>
                <a:graphic xmlns:a="http://schemas.openxmlformats.org/drawingml/2006/main">
                  <a:graphicData uri="http://schemas.microsoft.com/office/word/2010/wordprocessingGroup">
                    <wpg:wgp>
                      <wpg:cNvGrpSpPr/>
                      <wpg:grpSpPr>
                        <a:xfrm>
                          <a:off x="0" y="0"/>
                          <a:ext cx="3754800" cy="7386840"/>
                        </a:xfrm>
                      </wpg:grpSpPr>
                      <wps:wsp>
                        <wps:cNvSpPr/>
                        <wps:spPr>
                          <a:xfrm rot="16200000">
                            <a:off x="-1019160" y="-1166760"/>
                            <a:ext cx="218628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Table5:Numberoftraitspergroupingfeatureandtypeofcoding</w:t>
                              </w:r>
                            </w:p>
                          </w:txbxContent>
                        </wps:txbx>
                        <wps:bodyPr lIns="0" rIns="0" tIns="0" bIns="0">
                          <a:noAutofit/>
                        </wps:bodyPr>
                      </wps:wsp>
                      <wps:wsp>
                        <wps:cNvSpPr/>
                        <wps:spPr>
                          <a:xfrm rot="16200000">
                            <a:off x="-789120" y="-619200"/>
                            <a:ext cx="2030040" cy="14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ofthetraitsfortherespectivegroupingfeatureperdatabase.</w:t>
                              </w:r>
                            </w:p>
                          </w:txbxContent>
                        </wps:txbx>
                        <wps:bodyPr lIns="0" rIns="0" tIns="0" bIns="0">
                          <a:noAutofit/>
                        </wps:bodyPr>
                      </wps:wsp>
                      <pic:pic xmlns:pic="http://schemas.openxmlformats.org/drawingml/2006/picture">
                        <pic:nvPicPr>
                          <pic:cNvPr id="0" name="Picture 30684" descr=""/>
                          <pic:cNvPicPr/>
                        </pic:nvPicPr>
                        <pic:blipFill>
                          <a:blip r:embed="rId10"/>
                          <a:stretch/>
                        </pic:blipFill>
                        <pic:spPr>
                          <a:xfrm>
                            <a:off x="408240" y="4067280"/>
                            <a:ext cx="3346560" cy="3319920"/>
                          </a:xfrm>
                          <a:prstGeom prst="rect">
                            <a:avLst/>
                          </a:prstGeom>
                          <a:ln>
                            <a:noFill/>
                          </a:ln>
                        </pic:spPr>
                      </pic:pic>
                    </wpg:wgp>
                  </a:graphicData>
                </a:graphic>
              </wp:inline>
            </w:drawing>
          </mc:Choice>
          <mc:Fallback>
            <w:pict>
              <v:group id="shape_0" style="position:absolute;margin-left:-80.3pt;margin-top:-501.5pt;width:375.95pt;height:501.45pt" coordorigin="-1606,-10030" coordsize="7519,10029">
                <v:rect id="shape_0" stroked="f" style="position:absolute;left:-1605;top:-10029;width:3442;height:231;rotation:27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Table5:Numberoftraitspergroupingfeatureandtypeofcoding</w:t>
                        </w:r>
                      </w:p>
                    </w:txbxContent>
                  </v:textbox>
                  <w10:wrap type="square"/>
                  <v:fill o:detectmouseclick="t" on="false"/>
                  <v:stroke color="#3465a4" joinstyle="round" endcap="flat"/>
                </v:rect>
                <v:rect id="shape_0" stroked="f" style="position:absolute;left:-1243;top:-9413;width:3196;height:231;rotation:270;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ofthetraitsfortherespectivegroupingfeatureperdatabase.</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0684" stroked="f" style="position:absolute;left:643;top:-5229;width:5269;height:5227;mso-position-vertical:top" type="shapetype_75">
                  <v:imagedata r:id="rId10" o:detectmouseclick="t"/>
                  <w10:wrap type="none"/>
                  <v:stroke color="#3465a4" joinstyle="round" endcap="flat"/>
                </v:shape>
              </v:group>
            </w:pict>
          </mc:Fallback>
        </mc:AlternateContent>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b/>
          <w:b/>
          <w:sz w:val="29"/>
        </w:rPr>
      </w:pPr>
      <w:r>
        <w:rPr>
          <w:b/>
          <w:sz w:val="29"/>
        </w:rPr>
      </w:r>
    </w:p>
    <w:p>
      <w:pPr>
        <w:pStyle w:val="Normal"/>
        <w:spacing w:lineRule="auto" w:line="259" w:before="0" w:after="93"/>
        <w:ind w:left="-5" w:right="0" w:hanging="10"/>
        <w:jc w:val="left"/>
        <w:rPr/>
      </w:pPr>
      <w:r>
        <w:rPr>
          <w:b/>
          <w:sz w:val="29"/>
        </w:rPr>
        <w:t>Discussion</w:t>
      </w:r>
    </w:p>
    <w:p>
      <w:pPr>
        <w:pStyle w:val="Normal"/>
        <w:spacing w:lineRule="auto" w:line="259" w:before="0" w:after="93"/>
        <w:ind w:left="-5" w:right="0" w:hanging="10"/>
        <w:jc w:val="left"/>
        <w:rPr/>
      </w:pPr>
      <w:r>
        <w:rPr>
          <w:b/>
          <w:sz w:val="29"/>
        </w:rPr>
        <w:t>-</w:t>
      </w:r>
      <w:r>
        <w:br w:type="page"/>
      </w:r>
    </w:p>
    <w:p>
      <w:pPr>
        <w:pStyle w:val="Berschrift1"/>
        <w:ind w:left="-5" w:right="299" w:hanging="10"/>
        <w:rPr/>
      </w:pPr>
      <w:r>
        <w:rPr/>
        <w:t>References</w:t>
      </w:r>
    </w:p>
    <w:p>
      <w:pPr>
        <w:pStyle w:val="Normal"/>
        <w:numPr>
          <w:ilvl w:val="0"/>
          <w:numId w:val="1"/>
        </w:numPr>
        <w:spacing w:lineRule="auto" w:line="271" w:before="0" w:after="59"/>
        <w:ind w:left="509" w:right="284" w:hanging="509"/>
        <w:rPr/>
      </w:pPr>
      <w:r>
        <w:rPr>
          <w:lang w:val="en-US"/>
        </w:rPr>
        <w:t xml:space="preserve">B. J. McGill, B. J. Enquist, E. Weiher, and M. Westoby, “Rebuilding community ecology from functional traits,” </w:t>
      </w:r>
      <w:r>
        <w:rPr>
          <w:i/>
          <w:lang w:val="en-US"/>
        </w:rPr>
        <w:t>Trends in Ecology &amp; Evolution</w:t>
      </w:r>
      <w:r>
        <w:rPr>
          <w:lang w:val="en-US"/>
        </w:rPr>
        <w:t xml:space="preserve">, vol. 21, no. 4, pp. 178–185, 2006, </w:t>
      </w:r>
      <w:r>
        <w:rPr>
          <w:rFonts w:eastAsia="Calibri" w:cs="Calibri" w:ascii="Calibri" w:hAnsi="Calibri"/>
          <w:lang w:val="en-US"/>
        </w:rPr>
        <w:t>issn</w:t>
      </w:r>
      <w:r>
        <w:rPr>
          <w:lang w:val="en-US"/>
        </w:rPr>
        <w:t xml:space="preserve">: 0169-5347. </w:t>
      </w:r>
      <w:r>
        <w:rPr>
          <w:rFonts w:eastAsia="Calibri" w:cs="Calibri" w:ascii="Calibri" w:hAnsi="Calibri"/>
          <w:lang w:val="en-US"/>
        </w:rPr>
        <w:t>doi</w:t>
      </w:r>
      <w:r>
        <w:rPr>
          <w:lang w:val="en-US"/>
        </w:rPr>
        <w:t xml:space="preserve">: </w:t>
      </w:r>
      <w:hyperlink r:id="rId11">
        <w:r>
          <w:rPr>
            <w:rStyle w:val="ListLabel10"/>
            <w:rFonts w:eastAsia="Calibri" w:cs="Calibri" w:ascii="Calibri" w:hAnsi="Calibri"/>
            <w:lang w:val="en-US"/>
          </w:rPr>
          <w:t>10.1016/j.tree.2006.02.002</w:t>
        </w:r>
      </w:hyperlink>
      <w:hyperlink r:id="rId12">
        <w:r>
          <w:rPr>
            <w:rStyle w:val="ListLabel11"/>
            <w:lang w:val="en-US"/>
          </w:rPr>
          <w:t>.</w:t>
        </w:r>
      </w:hyperlink>
      <w:r>
        <w:rPr>
          <w:lang w:val="en-US"/>
        </w:rPr>
        <w:t xml:space="preserve"> </w:t>
      </w:r>
      <w:r>
        <w:rPr/>
        <w:t xml:space="preserve">[Online]. Available: </w:t>
      </w:r>
      <w:hyperlink r:id="rId13">
        <w:r>
          <w:rPr>
            <w:rStyle w:val="ListLabel12"/>
            <w:rFonts w:eastAsia="Calibri" w:cs="Calibri" w:ascii="Calibri" w:hAnsi="Calibri"/>
          </w:rPr>
          <w:t xml:space="preserve">http://www. </w:t>
        </w:r>
      </w:hyperlink>
      <w:hyperlink r:id="rId14">
        <w:r>
          <w:rPr>
            <w:rStyle w:val="ListLabel12"/>
            <w:rFonts w:eastAsia="Calibri" w:cs="Calibri" w:ascii="Calibri" w:hAnsi="Calibri"/>
          </w:rPr>
          <w:t>sciencedirect.com/science/article/pii/S0169534706000334</w:t>
        </w:r>
      </w:hyperlink>
      <w:hyperlink r:id="rId15">
        <w:r>
          <w:rPr>
            <w:rStyle w:val="ListLabel13"/>
          </w:rPr>
          <w:t>.</w:t>
        </w:r>
      </w:hyperlink>
    </w:p>
    <w:p>
      <w:pPr>
        <w:pStyle w:val="Normal"/>
        <w:numPr>
          <w:ilvl w:val="0"/>
          <w:numId w:val="1"/>
        </w:numPr>
        <w:spacing w:before="0" w:after="78"/>
        <w:ind w:left="509" w:right="284" w:hanging="509"/>
        <w:rPr/>
      </w:pPr>
      <w:r>
        <w:rPr>
          <w:lang w:val="en-US"/>
        </w:rPr>
        <w:t xml:space="preserve">Heino Jani, Schmera D´enes, and Er˝os Tibor, “A macroecological perspective of trait patterns in stream communities,” </w:t>
      </w:r>
      <w:r>
        <w:rPr>
          <w:i/>
          <w:lang w:val="en-US"/>
        </w:rPr>
        <w:t>Freshwater Biology</w:t>
      </w:r>
      <w:r>
        <w:rPr>
          <w:lang w:val="en-US"/>
        </w:rPr>
        <w:t xml:space="preserve">, vol. 58, no. 8, pp. 1539–1555, May 28, 2013, </w:t>
      </w:r>
      <w:r>
        <w:rPr>
          <w:rFonts w:eastAsia="Calibri" w:cs="Calibri" w:ascii="Calibri" w:hAnsi="Calibri"/>
          <w:lang w:val="en-US"/>
        </w:rPr>
        <w:t>issn</w:t>
      </w:r>
      <w:r>
        <w:rPr>
          <w:lang w:val="en-US"/>
        </w:rPr>
        <w:t xml:space="preserve">: 0046-5070. </w:t>
      </w:r>
      <w:r>
        <w:rPr>
          <w:rFonts w:eastAsia="Calibri" w:cs="Calibri" w:ascii="Calibri" w:hAnsi="Calibri"/>
          <w:lang w:val="en-US"/>
        </w:rPr>
        <w:t>doi</w:t>
      </w:r>
      <w:r>
        <w:rPr>
          <w:lang w:val="en-US"/>
        </w:rPr>
        <w:t xml:space="preserve">: </w:t>
      </w:r>
      <w:hyperlink r:id="rId16">
        <w:r>
          <w:rPr>
            <w:rStyle w:val="ListLabel10"/>
            <w:rFonts w:eastAsia="Calibri" w:cs="Calibri" w:ascii="Calibri" w:hAnsi="Calibri"/>
            <w:lang w:val="en-US"/>
          </w:rPr>
          <w:t>10.1111/fwb.12164</w:t>
        </w:r>
      </w:hyperlink>
      <w:hyperlink r:id="rId17">
        <w:r>
          <w:rPr>
            <w:rStyle w:val="ListLabel11"/>
            <w:lang w:val="en-US"/>
          </w:rPr>
          <w:t>.</w:t>
        </w:r>
      </w:hyperlink>
      <w:r>
        <w:rPr>
          <w:lang w:val="en-US"/>
        </w:rPr>
        <w:t xml:space="preserve"> </w:t>
      </w:r>
      <w:r>
        <w:rPr/>
        <w:t xml:space="preserve">[Online]. </w:t>
      </w:r>
      <w:r>
        <w:rPr>
          <w:lang w:val="en-US"/>
        </w:rPr>
        <w:t xml:space="preserve">Available: </w:t>
      </w:r>
      <w:hyperlink r:id="rId18">
        <w:r>
          <w:rPr>
            <w:rStyle w:val="ListLabel10"/>
            <w:rFonts w:eastAsia="Calibri" w:cs="Calibri" w:ascii="Calibri" w:hAnsi="Calibri"/>
            <w:lang w:val="en-US"/>
          </w:rPr>
          <w:t xml:space="preserve">https://onlinelibrary. </w:t>
        </w:r>
      </w:hyperlink>
      <w:hyperlink r:id="rId19">
        <w:r>
          <w:rPr>
            <w:rStyle w:val="ListLabel10"/>
            <w:rFonts w:eastAsia="Calibri" w:cs="Calibri" w:ascii="Calibri" w:hAnsi="Calibri"/>
            <w:lang w:val="en-US"/>
          </w:rPr>
          <w:t>wiley.com/doi/full/10.1111/fwb.12164</w:t>
        </w:r>
      </w:hyperlink>
      <w:r>
        <w:rPr>
          <w:rFonts w:eastAsia="Calibri" w:cs="Calibri" w:ascii="Calibri" w:hAnsi="Calibri"/>
          <w:lang w:val="en-US"/>
        </w:rPr>
        <w:t xml:space="preserve"> </w:t>
      </w:r>
      <w:r>
        <w:rPr>
          <w:lang w:val="en-US"/>
        </w:rPr>
        <w:t>(visited on 04/14/2018).</w:t>
      </w:r>
    </w:p>
    <w:p>
      <w:pPr>
        <w:pStyle w:val="Normal"/>
        <w:numPr>
          <w:ilvl w:val="0"/>
          <w:numId w:val="1"/>
        </w:numPr>
        <w:spacing w:before="0" w:after="78"/>
        <w:ind w:left="509" w:right="284" w:hanging="509"/>
        <w:rPr/>
      </w:pPr>
      <w:r>
        <w:rPr>
          <w:lang w:val="en-US"/>
        </w:rPr>
        <w:t xml:space="preserve">T. R. E. Southwood, “Habitat, the templet for ecological strategies?” </w:t>
      </w:r>
      <w:r>
        <w:rPr>
          <w:i/>
          <w:lang w:val="en-US"/>
        </w:rPr>
        <w:t>Journal of Animal Ecology</w:t>
      </w:r>
      <w:r>
        <w:rPr>
          <w:lang w:val="en-US"/>
        </w:rPr>
        <w:t xml:space="preserve">, vol. 46, no. 2, pp. 337–365, 1977, </w:t>
      </w:r>
      <w:r>
        <w:rPr>
          <w:rFonts w:eastAsia="Calibri" w:cs="Calibri" w:ascii="Calibri" w:hAnsi="Calibri"/>
          <w:lang w:val="en-US"/>
        </w:rPr>
        <w:t>issn</w:t>
      </w:r>
      <w:r>
        <w:rPr>
          <w:lang w:val="en-US"/>
        </w:rPr>
        <w:t xml:space="preserve">: 0021-8790. </w:t>
      </w:r>
      <w:r>
        <w:rPr>
          <w:rFonts w:eastAsia="Calibri" w:cs="Calibri" w:ascii="Calibri" w:hAnsi="Calibri"/>
          <w:lang w:val="en-US"/>
        </w:rPr>
        <w:t>doi</w:t>
      </w:r>
      <w:r>
        <w:rPr>
          <w:lang w:val="en-US"/>
        </w:rPr>
        <w:t xml:space="preserve">: </w:t>
      </w:r>
      <w:hyperlink r:id="rId20">
        <w:r>
          <w:rPr>
            <w:rStyle w:val="ListLabel10"/>
            <w:rFonts w:eastAsia="Calibri" w:cs="Calibri" w:ascii="Calibri" w:hAnsi="Calibri"/>
            <w:lang w:val="en-US"/>
          </w:rPr>
          <w:t>10.2307/3817</w:t>
        </w:r>
      </w:hyperlink>
      <w:hyperlink r:id="rId21">
        <w:r>
          <w:rPr>
            <w:rStyle w:val="ListLabel11"/>
            <w:lang w:val="en-US"/>
          </w:rPr>
          <w:t>.</w:t>
        </w:r>
      </w:hyperlink>
      <w:r>
        <w:rPr>
          <w:lang w:val="en-US"/>
        </w:rPr>
        <w:t xml:space="preserve"> [Online]. </w:t>
      </w:r>
      <w:r>
        <w:rPr/>
        <w:t xml:space="preserve">Available: </w:t>
      </w:r>
      <w:hyperlink r:id="rId22">
        <w:r>
          <w:rPr>
            <w:rStyle w:val="ListLabel12"/>
            <w:rFonts w:eastAsia="Calibri" w:cs="Calibri" w:ascii="Calibri" w:hAnsi="Calibri"/>
          </w:rPr>
          <w:t>https://www.jstor.org/stable/3817</w:t>
        </w:r>
      </w:hyperlink>
      <w:hyperlink r:id="rId23">
        <w:r>
          <w:rPr>
            <w:rStyle w:val="ListLabel13"/>
          </w:rPr>
          <w:t>.</w:t>
        </w:r>
      </w:hyperlink>
    </w:p>
    <w:p>
      <w:pPr>
        <w:pStyle w:val="Normal"/>
        <w:numPr>
          <w:ilvl w:val="0"/>
          <w:numId w:val="1"/>
        </w:numPr>
        <w:spacing w:before="0" w:after="26"/>
        <w:ind w:left="509" w:right="284" w:hanging="509"/>
        <w:rPr/>
      </w:pPr>
      <w:r>
        <w:rPr>
          <w:lang w:val="en-US"/>
        </w:rPr>
        <w:t xml:space="preserve">W. C. E. P. Verberk, C. G. E. van Noordwijk, and A. G. Hildrew, “Delivering on a promise: Integrating species traits to transform descriptive community ecology into a predictive science,” </w:t>
      </w:r>
      <w:r>
        <w:rPr>
          <w:i/>
          <w:lang w:val="en-US"/>
        </w:rPr>
        <w:t>Freshwater Science</w:t>
      </w:r>
      <w:r>
        <w:rPr>
          <w:lang w:val="en-US"/>
        </w:rPr>
        <w:t xml:space="preserve">, vol. 32, no. 2, pp. 531–547, 2013, </w:t>
      </w:r>
      <w:r>
        <w:rPr>
          <w:rFonts w:eastAsia="Calibri" w:cs="Calibri" w:ascii="Calibri" w:hAnsi="Calibri"/>
          <w:lang w:val="en-US"/>
        </w:rPr>
        <w:t>issn</w:t>
      </w:r>
      <w:r>
        <w:rPr>
          <w:lang w:val="en-US"/>
        </w:rPr>
        <w:t xml:space="preserve">: 2161-9549. </w:t>
      </w:r>
      <w:r>
        <w:rPr>
          <w:rFonts w:eastAsia="Calibri" w:cs="Calibri" w:ascii="Calibri" w:hAnsi="Calibri"/>
          <w:lang w:val="en-US"/>
        </w:rPr>
        <w:t>doi</w:t>
      </w:r>
      <w:r>
        <w:rPr>
          <w:lang w:val="en-US"/>
        </w:rPr>
        <w:t xml:space="preserve">: </w:t>
      </w:r>
      <w:hyperlink r:id="rId24">
        <w:r>
          <w:rPr>
            <w:rStyle w:val="ListLabel10"/>
            <w:rFonts w:eastAsia="Calibri" w:cs="Calibri" w:ascii="Calibri" w:hAnsi="Calibri"/>
            <w:lang w:val="en-US"/>
          </w:rPr>
          <w:t>10.1899/12-</w:t>
        </w:r>
      </w:hyperlink>
    </w:p>
    <w:p>
      <w:pPr>
        <w:pStyle w:val="Normal"/>
        <w:spacing w:lineRule="auto" w:line="259" w:before="0" w:after="78"/>
        <w:ind w:left="10" w:right="284" w:hanging="10"/>
        <w:jc w:val="right"/>
        <w:rPr/>
      </w:pPr>
      <w:hyperlink r:id="rId25">
        <w:r>
          <w:rPr>
            <w:rStyle w:val="ListLabel10"/>
            <w:rFonts w:eastAsia="Calibri" w:cs="Calibri" w:ascii="Calibri" w:hAnsi="Calibri"/>
            <w:lang w:val="en-US"/>
          </w:rPr>
          <w:t>092.1</w:t>
        </w:r>
      </w:hyperlink>
      <w:hyperlink r:id="rId26">
        <w:r>
          <w:rPr>
            <w:rStyle w:val="ListLabel11"/>
            <w:lang w:val="en-US"/>
          </w:rPr>
          <w:t>.</w:t>
        </w:r>
      </w:hyperlink>
      <w:r>
        <w:rPr>
          <w:lang w:val="en-US"/>
        </w:rPr>
        <w:t xml:space="preserve"> [Online]. Available: </w:t>
      </w:r>
      <w:hyperlink r:id="rId27">
        <w:r>
          <w:rPr>
            <w:rStyle w:val="ListLabel10"/>
            <w:rFonts w:eastAsia="Calibri" w:cs="Calibri" w:ascii="Calibri" w:hAnsi="Calibri"/>
            <w:lang w:val="en-US"/>
          </w:rPr>
          <w:t>https://www.journals.uchicago.edu/doi/10.1899/12-092.1</w:t>
        </w:r>
      </w:hyperlink>
      <w:hyperlink r:id="rId28">
        <w:r>
          <w:rPr>
            <w:rStyle w:val="ListLabel11"/>
            <w:lang w:val="en-US"/>
          </w:rPr>
          <w:t>.</w:t>
        </w:r>
      </w:hyperlink>
    </w:p>
    <w:p>
      <w:pPr>
        <w:pStyle w:val="Normal"/>
        <w:numPr>
          <w:ilvl w:val="0"/>
          <w:numId w:val="1"/>
        </w:numPr>
        <w:ind w:left="509" w:right="284" w:hanging="509"/>
        <w:rPr/>
      </w:pPr>
      <w:r>
        <w:rPr>
          <w:lang w:val="en-US"/>
        </w:rPr>
        <w:t xml:space="preserve">N. Bonada, S. Dol´edec, and B. Statzner, “Taxonomic and biological trait differences of stream macroinvertebrate communities between mediterranean and temperate regions: Implications for future climatic scenarios,” </w:t>
      </w:r>
      <w:r>
        <w:rPr>
          <w:i/>
          <w:lang w:val="en-US"/>
        </w:rPr>
        <w:t>Global Change Biology</w:t>
      </w:r>
      <w:r>
        <w:rPr>
          <w:lang w:val="en-US"/>
        </w:rPr>
        <w:t xml:space="preserve">, vol. 13, no. 8, pp. 1658–1671, 2007, </w:t>
      </w:r>
      <w:r>
        <w:rPr>
          <w:rFonts w:eastAsia="Calibri" w:cs="Calibri" w:ascii="Calibri" w:hAnsi="Calibri"/>
          <w:lang w:val="en-US"/>
        </w:rPr>
        <w:t>issn</w:t>
      </w:r>
      <w:r>
        <w:rPr>
          <w:lang w:val="en-US"/>
        </w:rPr>
        <w:t xml:space="preserve">: 1354-1013, 1365-2486. </w:t>
      </w:r>
      <w:r>
        <w:rPr>
          <w:rFonts w:eastAsia="Calibri" w:cs="Calibri" w:ascii="Calibri" w:hAnsi="Calibri"/>
          <w:lang w:val="en-US"/>
        </w:rPr>
        <w:t>doi</w:t>
      </w:r>
      <w:r>
        <w:rPr>
          <w:lang w:val="en-US"/>
        </w:rPr>
        <w:t xml:space="preserve">: </w:t>
      </w:r>
      <w:hyperlink r:id="rId29">
        <w:r>
          <w:rPr>
            <w:rStyle w:val="ListLabel10"/>
            <w:rFonts w:eastAsia="Calibri" w:cs="Calibri" w:ascii="Calibri" w:hAnsi="Calibri"/>
            <w:lang w:val="en-US"/>
          </w:rPr>
          <w:t>10.1111/j.1365-2486.2007.01375.x</w:t>
        </w:r>
      </w:hyperlink>
      <w:hyperlink r:id="rId30">
        <w:r>
          <w:rPr>
            <w:rStyle w:val="ListLabel11"/>
            <w:lang w:val="en-US"/>
          </w:rPr>
          <w:t>.</w:t>
        </w:r>
      </w:hyperlink>
      <w:r>
        <w:rPr>
          <w:lang w:val="en-US"/>
        </w:rPr>
        <w:t xml:space="preserve"> </w:t>
      </w:r>
      <w:r>
        <w:rPr/>
        <w:t>[Online]. Available:</w:t>
      </w:r>
    </w:p>
    <w:p>
      <w:pPr>
        <w:pStyle w:val="Normal"/>
        <w:spacing w:lineRule="auto" w:line="252" w:before="0" w:after="78"/>
        <w:ind w:left="504" w:right="0" w:hanging="10"/>
        <w:jc w:val="left"/>
        <w:rPr/>
      </w:pPr>
      <w:hyperlink r:id="rId31">
        <w:r>
          <w:rPr>
            <w:rStyle w:val="ListLabel12"/>
            <w:rFonts w:eastAsia="Calibri" w:cs="Calibri" w:ascii="Calibri" w:hAnsi="Calibri"/>
          </w:rPr>
          <w:t>http://doi.wiley.com/10.1111/j.1365-2486.2007.01375.x</w:t>
        </w:r>
      </w:hyperlink>
      <w:hyperlink r:id="rId32">
        <w:r>
          <w:rPr>
            <w:rStyle w:val="ListLabel13"/>
          </w:rPr>
          <w:t>.</w:t>
        </w:r>
      </w:hyperlink>
    </w:p>
    <w:p>
      <w:pPr>
        <w:pStyle w:val="Normal"/>
        <w:numPr>
          <w:ilvl w:val="0"/>
          <w:numId w:val="1"/>
        </w:numPr>
        <w:ind w:left="509" w:right="284" w:hanging="509"/>
        <w:rPr/>
      </w:pPr>
      <w:r>
        <w:rPr>
          <w:lang w:val="en-US"/>
        </w:rPr>
        <w:t xml:space="preserve">D. J. Baird, C. J. O. Baker, R. B. Brua, M. Hajibabaei, K. McNicol, T. J. Pascoe, and D. d. Zwart, “Toward a knowledge infrastructure for traits-based ecological risk assessment,” </w:t>
      </w:r>
      <w:r>
        <w:rPr>
          <w:i/>
          <w:lang w:val="en-US"/>
        </w:rPr>
        <w:t>Integrated Environmental Assessment and Management</w:t>
      </w:r>
      <w:r>
        <w:rPr>
          <w:lang w:val="en-US"/>
        </w:rPr>
        <w:t xml:space="preserve">, vol. 7, no. 2, pp. 209–215, 2011, eprint: https://setac.onlinelibrary.wiley.com/doi/pdf/10.1002/ieam.129, </w:t>
      </w:r>
      <w:r>
        <w:rPr>
          <w:rFonts w:eastAsia="Calibri" w:cs="Calibri" w:ascii="Calibri" w:hAnsi="Calibri"/>
          <w:lang w:val="en-US"/>
        </w:rPr>
        <w:t>issn</w:t>
      </w:r>
      <w:r>
        <w:rPr>
          <w:lang w:val="en-US"/>
        </w:rPr>
        <w:t xml:space="preserve">: 1551-3793. </w:t>
      </w:r>
      <w:r>
        <w:rPr>
          <w:rFonts w:eastAsia="Calibri" w:cs="Calibri" w:ascii="Calibri" w:hAnsi="Calibri"/>
          <w:lang w:val="en-US"/>
        </w:rPr>
        <w:t>doi</w:t>
      </w:r>
      <w:r>
        <w:rPr>
          <w:lang w:val="en-US"/>
        </w:rPr>
        <w:t xml:space="preserve">: </w:t>
      </w:r>
      <w:hyperlink r:id="rId33">
        <w:r>
          <w:rPr>
            <w:rStyle w:val="ListLabel10"/>
            <w:rFonts w:eastAsia="Calibri" w:cs="Calibri" w:ascii="Calibri" w:hAnsi="Calibri"/>
            <w:lang w:val="en-US"/>
          </w:rPr>
          <w:t>10.</w:t>
        </w:r>
      </w:hyperlink>
    </w:p>
    <w:p>
      <w:pPr>
        <w:pStyle w:val="Normal"/>
        <w:spacing w:lineRule="auto" w:line="252" w:before="0" w:after="78"/>
        <w:ind w:left="504" w:right="0" w:hanging="10"/>
        <w:jc w:val="left"/>
        <w:rPr/>
      </w:pPr>
      <w:hyperlink r:id="rId34">
        <w:r>
          <w:rPr>
            <w:rStyle w:val="ListLabel10"/>
            <w:rFonts w:eastAsia="Calibri" w:cs="Calibri" w:ascii="Calibri" w:hAnsi="Calibri"/>
            <w:lang w:val="en-US"/>
          </w:rPr>
          <w:t>1002/ieam.129</w:t>
        </w:r>
      </w:hyperlink>
      <w:hyperlink r:id="rId35">
        <w:r>
          <w:rPr>
            <w:rStyle w:val="ListLabel11"/>
            <w:lang w:val="en-US"/>
          </w:rPr>
          <w:t>.</w:t>
        </w:r>
      </w:hyperlink>
      <w:r>
        <w:rPr>
          <w:lang w:val="en-US"/>
        </w:rPr>
        <w:t xml:space="preserve"> [Online]. Available: </w:t>
      </w:r>
      <w:hyperlink r:id="rId36">
        <w:r>
          <w:rPr>
            <w:rStyle w:val="ListLabel10"/>
            <w:rFonts w:eastAsia="Calibri" w:cs="Calibri" w:ascii="Calibri" w:hAnsi="Calibri"/>
            <w:lang w:val="en-US"/>
          </w:rPr>
          <w:t xml:space="preserve">https://setac.onlinelibrary.wiley.com/doi/ </w:t>
        </w:r>
      </w:hyperlink>
      <w:hyperlink r:id="rId37">
        <w:r>
          <w:rPr>
            <w:rStyle w:val="ListLabel10"/>
            <w:rFonts w:eastAsia="Calibri" w:cs="Calibri" w:ascii="Calibri" w:hAnsi="Calibri"/>
            <w:lang w:val="en-US"/>
          </w:rPr>
          <w:t>abs/10.1002/ieam.129</w:t>
        </w:r>
      </w:hyperlink>
      <w:hyperlink r:id="rId38">
        <w:r>
          <w:rPr>
            <w:rStyle w:val="ListLabel11"/>
            <w:lang w:val="en-US"/>
          </w:rPr>
          <w:t>.</w:t>
        </w:r>
      </w:hyperlink>
    </w:p>
    <w:p>
      <w:pPr>
        <w:pStyle w:val="Normal"/>
        <w:numPr>
          <w:ilvl w:val="0"/>
          <w:numId w:val="1"/>
        </w:numPr>
        <w:spacing w:before="0" w:after="85"/>
        <w:ind w:left="509" w:right="284" w:hanging="509"/>
        <w:rPr>
          <w:lang w:val="en-US"/>
        </w:rPr>
      </w:pPr>
      <w:r>
        <w:rPr>
          <w:lang w:val="en-US"/>
        </w:rPr>
        <w:t>O. Moog and A. Hartmann, “A comprehensive species inventory of austrian aquatic organisms with ecological notes,” p. 86, 1995.</w:t>
      </w:r>
    </w:p>
    <w:p>
      <w:pPr>
        <w:pStyle w:val="Normal"/>
        <w:numPr>
          <w:ilvl w:val="0"/>
          <w:numId w:val="1"/>
        </w:numPr>
        <w:spacing w:before="0" w:after="79"/>
        <w:ind w:left="509" w:right="284" w:hanging="509"/>
        <w:rPr/>
      </w:pPr>
      <w:r>
        <w:rPr>
          <w:lang w:val="en-US"/>
        </w:rPr>
        <w:t xml:space="preserve">N. L. Poff, M. I. Pyne, B. P. Bledsoe, C. C. Cuhaciyan, and D. M. Carlisle, “Developing linkages between species traits and multiscaled environmental variation to explore vulnerability of stream benthic communities to climate change,” </w:t>
      </w:r>
      <w:r>
        <w:rPr>
          <w:i/>
          <w:lang w:val="en-US"/>
        </w:rPr>
        <w:t>Journal of the North American Benthological Society</w:t>
      </w:r>
      <w:r>
        <w:rPr>
          <w:lang w:val="en-US"/>
        </w:rPr>
        <w:t xml:space="preserve">, vol. 29, no. 4, pp. 1441–1458, 2010, </w:t>
      </w:r>
      <w:r>
        <w:rPr>
          <w:rFonts w:eastAsia="Calibri" w:cs="Calibri" w:ascii="Calibri" w:hAnsi="Calibri"/>
          <w:lang w:val="en-US"/>
        </w:rPr>
        <w:t>issn</w:t>
      </w:r>
      <w:r>
        <w:rPr>
          <w:lang w:val="en-US"/>
        </w:rPr>
        <w:t xml:space="preserve">: 0887-3593. </w:t>
      </w:r>
      <w:r>
        <w:rPr>
          <w:rFonts w:eastAsia="Calibri" w:cs="Calibri" w:ascii="Calibri" w:hAnsi="Calibri"/>
          <w:lang w:val="en-US"/>
        </w:rPr>
        <w:t>doi</w:t>
      </w:r>
      <w:r>
        <w:rPr>
          <w:lang w:val="en-US"/>
        </w:rPr>
        <w:t xml:space="preserve">: </w:t>
      </w:r>
      <w:hyperlink r:id="rId39">
        <w:r>
          <w:rPr>
            <w:rStyle w:val="ListLabel10"/>
            <w:rFonts w:eastAsia="Calibri" w:cs="Calibri" w:ascii="Calibri" w:hAnsi="Calibri"/>
            <w:lang w:val="en-US"/>
          </w:rPr>
          <w:t>10.1899/10-030.1</w:t>
        </w:r>
      </w:hyperlink>
      <w:hyperlink r:id="rId40">
        <w:r>
          <w:rPr>
            <w:rStyle w:val="ListLabel11"/>
            <w:lang w:val="en-US"/>
          </w:rPr>
          <w:t xml:space="preserve">. </w:t>
        </w:r>
      </w:hyperlink>
      <w:r>
        <w:rPr/>
        <w:t xml:space="preserve">[Online]. Available: </w:t>
      </w:r>
      <w:hyperlink r:id="rId41">
        <w:r>
          <w:rPr>
            <w:rStyle w:val="ListLabel12"/>
            <w:rFonts w:eastAsia="Calibri" w:cs="Calibri" w:ascii="Calibri" w:hAnsi="Calibri"/>
          </w:rPr>
          <w:t>https://www.journals.uchicago.edu/doi/abs/10.1899/10-030.1</w:t>
        </w:r>
      </w:hyperlink>
      <w:hyperlink r:id="rId42">
        <w:r>
          <w:rPr>
            <w:rStyle w:val="ListLabel13"/>
          </w:rPr>
          <w:t>.</w:t>
        </w:r>
      </w:hyperlink>
    </w:p>
    <w:p>
      <w:pPr>
        <w:pStyle w:val="Normal"/>
        <w:numPr>
          <w:ilvl w:val="0"/>
          <w:numId w:val="1"/>
        </w:numPr>
        <w:spacing w:before="0" w:after="73"/>
        <w:ind w:left="509" w:right="284" w:hanging="509"/>
        <w:rPr/>
      </w:pPr>
      <w:r>
        <w:rPr>
          <w:lang w:val="en-US"/>
        </w:rPr>
        <w:t xml:space="preserve">E. Sz¨ocs, E. Coring, J. B¨athe, and R. B. Sch¨afer, “Effects of anthropogenic salinization on biological traits and community composition of stream macroinvertebrates,” </w:t>
      </w:r>
      <w:r>
        <w:rPr>
          <w:i/>
          <w:lang w:val="en-US"/>
        </w:rPr>
        <w:t>Science of The Total Environment</w:t>
      </w:r>
      <w:r>
        <w:rPr>
          <w:lang w:val="en-US"/>
        </w:rPr>
        <w:t xml:space="preserve">, vol. 468-469, pp. 943–949, 2014, </w:t>
      </w:r>
      <w:r>
        <w:rPr>
          <w:rFonts w:eastAsia="Calibri" w:cs="Calibri" w:ascii="Calibri" w:hAnsi="Calibri"/>
          <w:lang w:val="en-US"/>
        </w:rPr>
        <w:t>issn</w:t>
      </w:r>
      <w:r>
        <w:rPr>
          <w:lang w:val="en-US"/>
        </w:rPr>
        <w:t xml:space="preserve">: 00489697. </w:t>
      </w:r>
      <w:r>
        <w:rPr>
          <w:rFonts w:eastAsia="Calibri" w:cs="Calibri" w:ascii="Calibri" w:hAnsi="Calibri"/>
          <w:lang w:val="en-US"/>
        </w:rPr>
        <w:t>doi</w:t>
      </w:r>
      <w:r>
        <w:rPr>
          <w:lang w:val="en-US"/>
        </w:rPr>
        <w:t xml:space="preserve">: </w:t>
      </w:r>
      <w:hyperlink r:id="rId43">
        <w:r>
          <w:rPr>
            <w:rStyle w:val="ListLabel10"/>
            <w:rFonts w:eastAsia="Calibri" w:cs="Calibri" w:ascii="Calibri" w:hAnsi="Calibri"/>
            <w:lang w:val="en-US"/>
          </w:rPr>
          <w:t xml:space="preserve">10.1016/j.scitotenv. </w:t>
        </w:r>
      </w:hyperlink>
      <w:hyperlink r:id="rId44">
        <w:r>
          <w:rPr>
            <w:rStyle w:val="ListLabel12"/>
            <w:rFonts w:eastAsia="Calibri" w:cs="Calibri" w:ascii="Calibri" w:hAnsi="Calibri"/>
          </w:rPr>
          <w:t>2013.08.058</w:t>
        </w:r>
      </w:hyperlink>
      <w:hyperlink r:id="rId45">
        <w:r>
          <w:rPr>
            <w:rStyle w:val="ListLabel13"/>
          </w:rPr>
          <w:t>.</w:t>
        </w:r>
      </w:hyperlink>
      <w:r>
        <w:rPr/>
        <w:t xml:space="preserve"> [Online]. Available: </w:t>
      </w:r>
      <w:hyperlink r:id="rId46">
        <w:r>
          <w:rPr>
            <w:rStyle w:val="ListLabel12"/>
            <w:rFonts w:eastAsia="Calibri" w:cs="Calibri" w:ascii="Calibri" w:hAnsi="Calibri"/>
          </w:rPr>
          <w:t xml:space="preserve">https://linkinghub.elsevier.com/retrieve/pii/ </w:t>
        </w:r>
      </w:hyperlink>
      <w:hyperlink r:id="rId47">
        <w:r>
          <w:rPr>
            <w:rStyle w:val="ListLabel12"/>
            <w:rFonts w:eastAsia="Calibri" w:cs="Calibri" w:ascii="Calibri" w:hAnsi="Calibri"/>
          </w:rPr>
          <w:t>S0048969713009728</w:t>
        </w:r>
      </w:hyperlink>
      <w:hyperlink r:id="rId48">
        <w:r>
          <w:rPr>
            <w:rStyle w:val="ListLabel13"/>
          </w:rPr>
          <w:t>.</w:t>
        </w:r>
      </w:hyperlink>
    </w:p>
    <w:p>
      <w:pPr>
        <w:pStyle w:val="Normal"/>
        <w:numPr>
          <w:ilvl w:val="0"/>
          <w:numId w:val="1"/>
        </w:numPr>
        <w:spacing w:lineRule="auto" w:line="271" w:before="0" w:after="59"/>
        <w:ind w:left="509" w:right="284" w:hanging="509"/>
        <w:rPr/>
      </w:pPr>
      <w:r>
        <w:rPr>
          <w:lang w:val="en-US"/>
        </w:rPr>
        <w:t xml:space="preserve">A. K. Bhowmik and R. B. Sch¨afer, “Large scale relationship between aquatic insect traits and climate,” </w:t>
      </w:r>
      <w:r>
        <w:rPr>
          <w:i/>
          <w:lang w:val="en-US"/>
        </w:rPr>
        <w:t>PLoS ONE</w:t>
      </w:r>
      <w:r>
        <w:rPr>
          <w:lang w:val="en-US"/>
        </w:rPr>
        <w:t xml:space="preserve">, vol. 10, no. 6, 2015, </w:t>
      </w:r>
      <w:r>
        <w:rPr>
          <w:rFonts w:eastAsia="Calibri" w:cs="Calibri" w:ascii="Calibri" w:hAnsi="Calibri"/>
          <w:lang w:val="en-US"/>
        </w:rPr>
        <w:t>issn</w:t>
      </w:r>
      <w:r>
        <w:rPr>
          <w:lang w:val="en-US"/>
        </w:rPr>
        <w:t xml:space="preserve">: 1932-6203. </w:t>
      </w:r>
      <w:r>
        <w:rPr>
          <w:rFonts w:eastAsia="Calibri" w:cs="Calibri" w:ascii="Calibri" w:hAnsi="Calibri"/>
          <w:lang w:val="en-US"/>
        </w:rPr>
        <w:t>doi</w:t>
      </w:r>
      <w:r>
        <w:rPr>
          <w:lang w:val="en-US"/>
        </w:rPr>
        <w:t xml:space="preserve">: </w:t>
      </w:r>
      <w:hyperlink r:id="rId49">
        <w:r>
          <w:rPr>
            <w:rStyle w:val="ListLabel10"/>
            <w:rFonts w:eastAsia="Calibri" w:cs="Calibri" w:ascii="Calibri" w:hAnsi="Calibri"/>
            <w:lang w:val="en-US"/>
          </w:rPr>
          <w:t xml:space="preserve">10.1371/journal. </w:t>
        </w:r>
      </w:hyperlink>
      <w:hyperlink r:id="rId50">
        <w:r>
          <w:rPr>
            <w:rStyle w:val="ListLabel10"/>
            <w:rFonts w:eastAsia="Calibri" w:cs="Calibri" w:ascii="Calibri" w:hAnsi="Calibri"/>
            <w:lang w:val="en-US"/>
          </w:rPr>
          <w:t>pone.0130025</w:t>
        </w:r>
      </w:hyperlink>
      <w:hyperlink r:id="rId51">
        <w:r>
          <w:rPr>
            <w:rStyle w:val="ListLabel11"/>
            <w:lang w:val="en-US"/>
          </w:rPr>
          <w:t>.</w:t>
        </w:r>
      </w:hyperlink>
      <w:r>
        <w:rPr>
          <w:lang w:val="en-US"/>
        </w:rPr>
        <w:t xml:space="preserve"> [Online]. Available: </w:t>
      </w:r>
      <w:hyperlink r:id="rId52">
        <w:r>
          <w:rPr>
            <w:rStyle w:val="ListLabel10"/>
            <w:rFonts w:eastAsia="Calibri" w:cs="Calibri" w:ascii="Calibri" w:hAnsi="Calibri"/>
            <w:lang w:val="en-US"/>
          </w:rPr>
          <w:t xml:space="preserve">https://www.ncbi.nlm.nih.gov/pmc/articles/ </w:t>
        </w:r>
      </w:hyperlink>
      <w:hyperlink r:id="rId53">
        <w:r>
          <w:rPr>
            <w:rStyle w:val="ListLabel10"/>
            <w:rFonts w:eastAsia="Calibri" w:cs="Calibri" w:ascii="Calibri" w:hAnsi="Calibri"/>
            <w:lang w:val="en-US"/>
          </w:rPr>
          <w:t>PMC4469582/</w:t>
        </w:r>
      </w:hyperlink>
      <w:hyperlink r:id="rId54">
        <w:r>
          <w:rPr>
            <w:rStyle w:val="ListLabel11"/>
            <w:lang w:val="en-US"/>
          </w:rPr>
          <w:t>.</w:t>
        </w:r>
      </w:hyperlink>
    </w:p>
    <w:p>
      <w:pPr>
        <w:pStyle w:val="Normal"/>
        <w:numPr>
          <w:ilvl w:val="0"/>
          <w:numId w:val="1"/>
        </w:numPr>
        <w:spacing w:before="0" w:after="69"/>
        <w:ind w:left="509" w:right="284" w:hanging="509"/>
        <w:rPr/>
      </w:pPr>
      <w:r>
        <w:rPr>
          <w:lang w:val="en-US"/>
        </w:rPr>
        <w:t xml:space="preserve">S. Menezes, D. J. Baird, and A. M. V. M. Soares, “Beyond taxonomy: A review of macroinvertebrate trait-based community descriptors as tools for freshwater biomonitoring,” </w:t>
      </w:r>
      <w:r>
        <w:rPr>
          <w:i/>
          <w:lang w:val="en-US"/>
        </w:rPr>
        <w:t>Journal of Applied Ecology</w:t>
      </w:r>
      <w:r>
        <w:rPr>
          <w:lang w:val="en-US"/>
        </w:rPr>
        <w:t xml:space="preserve">, vol. 47, no. 4, pp. 711–719, 2010, </w:t>
      </w:r>
      <w:r>
        <w:rPr>
          <w:rFonts w:eastAsia="Calibri" w:cs="Calibri" w:ascii="Calibri" w:hAnsi="Calibri"/>
          <w:lang w:val="en-US"/>
        </w:rPr>
        <w:t>issn</w:t>
      </w:r>
      <w:r>
        <w:rPr>
          <w:lang w:val="en-US"/>
        </w:rPr>
        <w:t xml:space="preserve">: 1365-2664. </w:t>
      </w:r>
      <w:r>
        <w:rPr>
          <w:rFonts w:eastAsia="Calibri" w:cs="Calibri" w:ascii="Calibri" w:hAnsi="Calibri"/>
          <w:lang w:val="en-US"/>
        </w:rPr>
        <w:t>doi</w:t>
      </w:r>
      <w:r>
        <w:rPr>
          <w:lang w:val="en-US"/>
        </w:rPr>
        <w:t xml:space="preserve">: </w:t>
      </w:r>
      <w:hyperlink r:id="rId55">
        <w:r>
          <w:rPr>
            <w:rStyle w:val="ListLabel10"/>
            <w:rFonts w:eastAsia="Calibri" w:cs="Calibri" w:ascii="Calibri" w:hAnsi="Calibri"/>
            <w:lang w:val="en-US"/>
          </w:rPr>
          <w:t>10.1111/j.1365</w:t>
        </w:r>
      </w:hyperlink>
      <w:hyperlink r:id="rId56">
        <w:r>
          <w:rPr>
            <w:rStyle w:val="ListLabel10"/>
            <w:rFonts w:eastAsia="Calibri" w:cs="Calibri" w:ascii="Calibri" w:hAnsi="Calibri"/>
            <w:lang w:val="en-US"/>
          </w:rPr>
          <w:t>2664.2010.01819.x</w:t>
        </w:r>
      </w:hyperlink>
      <w:hyperlink r:id="rId57">
        <w:r>
          <w:rPr>
            <w:rStyle w:val="ListLabel11"/>
            <w:lang w:val="en-US"/>
          </w:rPr>
          <w:t>.</w:t>
        </w:r>
      </w:hyperlink>
      <w:r>
        <w:rPr>
          <w:lang w:val="en-US"/>
        </w:rPr>
        <w:t xml:space="preserve"> </w:t>
      </w:r>
      <w:r>
        <w:rPr/>
        <w:t xml:space="preserve">[Online]. </w:t>
      </w:r>
      <w:r>
        <w:rPr>
          <w:lang w:val="en-US"/>
        </w:rPr>
        <w:t xml:space="preserve">Available: </w:t>
      </w:r>
      <w:hyperlink r:id="rId58">
        <w:r>
          <w:rPr>
            <w:rStyle w:val="ListLabel10"/>
            <w:rFonts w:eastAsia="Calibri" w:cs="Calibri" w:ascii="Calibri" w:hAnsi="Calibri"/>
            <w:lang w:val="en-US"/>
          </w:rPr>
          <w:t xml:space="preserve">https://besjournals.onlinelibrary.wiley. </w:t>
        </w:r>
      </w:hyperlink>
      <w:hyperlink r:id="rId59">
        <w:r>
          <w:rPr>
            <w:rStyle w:val="ListLabel10"/>
            <w:rFonts w:eastAsia="Calibri" w:cs="Calibri" w:ascii="Calibri" w:hAnsi="Calibri"/>
            <w:lang w:val="en-US"/>
          </w:rPr>
          <w:t>com/doi/abs/10.1111/j.1365-2664.2010.01819.x</w:t>
        </w:r>
      </w:hyperlink>
      <w:hyperlink r:id="rId60">
        <w:r>
          <w:rPr>
            <w:rStyle w:val="ListLabel11"/>
            <w:lang w:val="en-US"/>
          </w:rPr>
          <w:t>.</w:t>
        </w:r>
      </w:hyperlink>
    </w:p>
    <w:p>
      <w:pPr>
        <w:pStyle w:val="Normal"/>
        <w:numPr>
          <w:ilvl w:val="0"/>
          <w:numId w:val="1"/>
        </w:numPr>
        <w:spacing w:lineRule="auto" w:line="271" w:before="0" w:after="59"/>
        <w:ind w:left="509" w:right="284" w:hanging="509"/>
        <w:rPr/>
      </w:pPr>
      <w:r>
        <w:rPr>
          <w:lang w:val="en-US"/>
        </w:rPr>
        <w:t xml:space="preserve">P. Usseglio-Polatera, M. Bournaud, P. Richoux, and H. Tachet, “Biomonitoring through biological traits of benthic macroinvertebrates: How to use species trait databases?” </w:t>
      </w:r>
      <w:r>
        <w:rPr>
          <w:i/>
          <w:lang w:val="en-US"/>
        </w:rPr>
        <w:t>Hydrobiologia</w:t>
      </w:r>
      <w:r>
        <w:rPr>
          <w:lang w:val="en-US"/>
        </w:rPr>
        <w:t xml:space="preserve">, vol. 422, no. 0, pp. 153–162, 2000, </w:t>
      </w:r>
      <w:r>
        <w:rPr>
          <w:rFonts w:eastAsia="Calibri" w:cs="Calibri" w:ascii="Calibri" w:hAnsi="Calibri"/>
          <w:lang w:val="en-US"/>
        </w:rPr>
        <w:t>issn</w:t>
      </w:r>
      <w:r>
        <w:rPr>
          <w:lang w:val="en-US"/>
        </w:rPr>
        <w:t xml:space="preserve">: 1573-5117. </w:t>
      </w:r>
      <w:r>
        <w:rPr>
          <w:rFonts w:eastAsia="Calibri" w:cs="Calibri" w:ascii="Calibri" w:hAnsi="Calibri"/>
          <w:lang w:val="en-US"/>
        </w:rPr>
        <w:t>doi</w:t>
      </w:r>
      <w:r>
        <w:rPr>
          <w:lang w:val="en-US"/>
        </w:rPr>
        <w:t xml:space="preserve">: </w:t>
      </w:r>
      <w:hyperlink r:id="rId61">
        <w:r>
          <w:rPr>
            <w:rStyle w:val="ListLabel10"/>
            <w:rFonts w:eastAsia="Calibri" w:cs="Calibri" w:ascii="Calibri" w:hAnsi="Calibri"/>
            <w:lang w:val="en-US"/>
          </w:rPr>
          <w:t>10.1023/A:1017042921298</w:t>
        </w:r>
      </w:hyperlink>
      <w:hyperlink r:id="rId62">
        <w:r>
          <w:rPr>
            <w:rStyle w:val="ListLabel11"/>
            <w:lang w:val="en-US"/>
          </w:rPr>
          <w:t xml:space="preserve">. </w:t>
        </w:r>
      </w:hyperlink>
      <w:r>
        <w:rPr>
          <w:lang w:val="en-US"/>
        </w:rPr>
        <w:t xml:space="preserve">[Online]. Available: </w:t>
      </w:r>
      <w:hyperlink r:id="rId63">
        <w:r>
          <w:rPr>
            <w:rStyle w:val="ListLabel10"/>
            <w:rFonts w:eastAsia="Calibri" w:cs="Calibri" w:ascii="Calibri" w:hAnsi="Calibri"/>
            <w:lang w:val="en-US"/>
          </w:rPr>
          <w:t>https://doi.org/10.1023/A:1017042921298</w:t>
        </w:r>
      </w:hyperlink>
      <w:hyperlink r:id="rId64">
        <w:r>
          <w:rPr>
            <w:rStyle w:val="ListLabel11"/>
            <w:lang w:val="en-US"/>
          </w:rPr>
          <w:t>.</w:t>
        </w:r>
      </w:hyperlink>
    </w:p>
    <w:p>
      <w:pPr>
        <w:pStyle w:val="Normal"/>
        <w:numPr>
          <w:ilvl w:val="0"/>
          <w:numId w:val="1"/>
        </w:numPr>
        <w:spacing w:before="0" w:after="70"/>
        <w:ind w:left="509" w:right="284" w:hanging="509"/>
        <w:rPr/>
      </w:pPr>
      <w:r>
        <w:rPr>
          <w:lang w:val="en-US"/>
        </w:rPr>
        <w:t xml:space="preserve">A. Schmidt-Kloiber and D. Hering, “Www.freshwaterecology.info – an online tool that unifies, standardises and codifies more than 20,000 european freshwater organisms and their ecological preferences,” </w:t>
      </w:r>
      <w:r>
        <w:rPr>
          <w:i/>
          <w:lang w:val="en-US"/>
        </w:rPr>
        <w:t>Ecological Indicators</w:t>
      </w:r>
      <w:r>
        <w:rPr>
          <w:lang w:val="en-US"/>
        </w:rPr>
        <w:t xml:space="preserve">, vol. 53, pp. 271–282, 2015,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65">
        <w:r>
          <w:rPr>
            <w:rStyle w:val="ListLabel10"/>
            <w:rFonts w:eastAsia="Calibri" w:cs="Calibri" w:ascii="Calibri" w:hAnsi="Calibri"/>
            <w:lang w:val="en-US"/>
          </w:rPr>
          <w:t xml:space="preserve">10.1016/ </w:t>
        </w:r>
      </w:hyperlink>
      <w:hyperlink r:id="rId66">
        <w:r>
          <w:rPr>
            <w:rStyle w:val="ListLabel10"/>
            <w:rFonts w:eastAsia="Calibri" w:cs="Calibri" w:ascii="Calibri" w:hAnsi="Calibri"/>
            <w:lang w:val="en-US"/>
          </w:rPr>
          <w:t>j.ecolind.2015.02.007</w:t>
        </w:r>
      </w:hyperlink>
      <w:hyperlink r:id="rId67">
        <w:r>
          <w:rPr>
            <w:rStyle w:val="ListLabel11"/>
            <w:lang w:val="en-US"/>
          </w:rPr>
          <w:t>.</w:t>
        </w:r>
      </w:hyperlink>
      <w:r>
        <w:rPr>
          <w:lang w:val="en-US"/>
        </w:rPr>
        <w:t xml:space="preserve"> </w:t>
      </w:r>
      <w:r>
        <w:rPr/>
        <w:t xml:space="preserve">[Online]. Available: </w:t>
      </w:r>
      <w:hyperlink r:id="rId68">
        <w:r>
          <w:rPr>
            <w:rStyle w:val="ListLabel12"/>
            <w:rFonts w:eastAsia="Calibri" w:cs="Calibri" w:ascii="Calibri" w:hAnsi="Calibri"/>
          </w:rPr>
          <w:t xml:space="preserve">http://www.sciencedirect.com/science/ </w:t>
        </w:r>
      </w:hyperlink>
      <w:hyperlink r:id="rId69">
        <w:r>
          <w:rPr>
            <w:rStyle w:val="ListLabel12"/>
            <w:rFonts w:eastAsia="Calibri" w:cs="Calibri" w:ascii="Calibri" w:hAnsi="Calibri"/>
          </w:rPr>
          <w:t>article/pii/S1470160X15000758</w:t>
        </w:r>
      </w:hyperlink>
      <w:hyperlink r:id="rId70">
        <w:r>
          <w:rPr>
            <w:rStyle w:val="ListLabel13"/>
          </w:rPr>
          <w:t>.</w:t>
        </w:r>
      </w:hyperlink>
    </w:p>
    <w:p>
      <w:pPr>
        <w:pStyle w:val="Normal"/>
        <w:numPr>
          <w:ilvl w:val="0"/>
          <w:numId w:val="1"/>
        </w:numPr>
        <w:spacing w:before="0" w:after="80"/>
        <w:ind w:left="509" w:right="284" w:hanging="509"/>
        <w:rPr>
          <w:lang w:val="en-US"/>
        </w:rPr>
      </w:pPr>
      <w:r>
        <w:rPr>
          <w:lang w:val="en-US"/>
        </w:rPr>
        <w:t>N. K. M. Vieira, N. L. Poff, D. M. Carlisle, S. R. M. II, M. L. Koski, and B. C. Kondratieff, “A database of lotic invertebrate traits for north america,” p. 19, 2006.</w:t>
      </w:r>
    </w:p>
    <w:p>
      <w:pPr>
        <w:pStyle w:val="Normal"/>
        <w:numPr>
          <w:ilvl w:val="0"/>
          <w:numId w:val="1"/>
        </w:numPr>
        <w:spacing w:before="0" w:after="80"/>
        <w:ind w:left="509" w:right="284" w:hanging="509"/>
        <w:rPr>
          <w:lang w:val="en-US"/>
        </w:rPr>
      </w:pPr>
      <w:r>
        <w:rPr>
          <w:lang w:val="en-US"/>
        </w:rPr>
        <w:t xml:space="preserve">N. Philips and B. Smith, “New zealand freshwater macroinvertebrate trait database,” </w:t>
      </w:r>
      <w:r>
        <w:rPr>
          <w:i/>
          <w:lang w:val="en-US"/>
        </w:rPr>
        <w:t>NIWA</w:t>
      </w:r>
      <w:r>
        <w:rPr>
          <w:lang w:val="en-US"/>
        </w:rPr>
        <w:t>, 2018.</w:t>
      </w:r>
    </w:p>
    <w:p>
      <w:pPr>
        <w:pStyle w:val="Normal"/>
        <w:numPr>
          <w:ilvl w:val="0"/>
          <w:numId w:val="1"/>
        </w:numPr>
        <w:ind w:left="509" w:right="284" w:hanging="509"/>
        <w:rPr/>
      </w:pPr>
      <w:r>
        <w:rPr>
          <w:lang w:val="en-US"/>
        </w:rPr>
        <w:t xml:space="preserve">B. J. Kefford, P. K. Botwe, A. J. Brooks, S. Kunz, R. Marchant, S. Maxwell, L. Metzeling, R. B. Sch¨afer, and R. M. Thompson, “An integrated database of stream macroinvertebrate traits for australia: Concept and application,” </w:t>
      </w:r>
      <w:r>
        <w:rPr>
          <w:i/>
          <w:lang w:val="en-US"/>
        </w:rPr>
        <w:t>Ecological Indicators</w:t>
      </w:r>
      <w:r>
        <w:rPr>
          <w:lang w:val="en-US"/>
        </w:rPr>
        <w:t xml:space="preserve">, vol. 114, p. 106280, 2020,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71">
        <w:r>
          <w:rPr>
            <w:rStyle w:val="ListLabel10"/>
            <w:rFonts w:eastAsia="Calibri" w:cs="Calibri" w:ascii="Calibri" w:hAnsi="Calibri"/>
            <w:lang w:val="en-US"/>
          </w:rPr>
          <w:t>10.1016/j.ecolind.2020.106280</w:t>
        </w:r>
      </w:hyperlink>
      <w:hyperlink r:id="rId72">
        <w:r>
          <w:rPr>
            <w:rStyle w:val="ListLabel11"/>
            <w:lang w:val="en-US"/>
          </w:rPr>
          <w:t>.</w:t>
        </w:r>
      </w:hyperlink>
      <w:r>
        <w:rPr>
          <w:lang w:val="en-US"/>
        </w:rPr>
        <w:t xml:space="preserve"> </w:t>
      </w:r>
      <w:r>
        <w:rPr/>
        <w:t xml:space="preserve">[Online]. Available: </w:t>
      </w:r>
      <w:hyperlink r:id="rId73">
        <w:r>
          <w:rPr>
            <w:rStyle w:val="ListLabel12"/>
            <w:rFonts w:eastAsia="Calibri" w:cs="Calibri" w:ascii="Calibri" w:hAnsi="Calibri"/>
          </w:rPr>
          <w:t>https:</w:t>
        </w:r>
      </w:hyperlink>
    </w:p>
    <w:p>
      <w:pPr>
        <w:pStyle w:val="Normal"/>
        <w:spacing w:lineRule="auto" w:line="252" w:before="0" w:after="78"/>
        <w:ind w:left="504" w:right="0" w:hanging="10"/>
        <w:jc w:val="left"/>
        <w:rPr/>
      </w:pPr>
      <w:hyperlink r:id="rId74">
        <w:r>
          <w:rPr>
            <w:rStyle w:val="ListLabel10"/>
            <w:rFonts w:eastAsia="Calibri" w:cs="Calibri" w:ascii="Calibri" w:hAnsi="Calibri"/>
            <w:lang w:val="en-US"/>
          </w:rPr>
          <w:t>//linkinghub.elsevier.com/retrieve/pii/S1470160X2030217X</w:t>
        </w:r>
      </w:hyperlink>
      <w:hyperlink r:id="rId75">
        <w:r>
          <w:rPr>
            <w:rStyle w:val="ListLabel11"/>
            <w:lang w:val="en-US"/>
          </w:rPr>
          <w:t>.</w:t>
        </w:r>
      </w:hyperlink>
    </w:p>
    <w:p>
      <w:pPr>
        <w:pStyle w:val="Normal"/>
        <w:numPr>
          <w:ilvl w:val="0"/>
          <w:numId w:val="1"/>
        </w:numPr>
        <w:spacing w:before="0" w:after="69"/>
        <w:ind w:left="509" w:right="284" w:hanging="509"/>
        <w:rPr/>
      </w:pPr>
      <w:r>
        <w:rPr>
          <w:lang w:val="en-US"/>
        </w:rPr>
        <w:t xml:space="preserve">S. Tomanova, E. Goitia, and J. Heleˇsic, “Trophic levels and functional feeding groups of macroinvertebrates in neotropical streams,” </w:t>
      </w:r>
      <w:r>
        <w:rPr>
          <w:i/>
          <w:lang w:val="en-US"/>
        </w:rPr>
        <w:t>Hydrobiologia</w:t>
      </w:r>
      <w:r>
        <w:rPr>
          <w:lang w:val="en-US"/>
        </w:rPr>
        <w:t xml:space="preserve">, vol. 556, no. 1, pp. 251–264, 2006, </w:t>
      </w:r>
      <w:r>
        <w:rPr>
          <w:rFonts w:eastAsia="Calibri" w:cs="Calibri" w:ascii="Calibri" w:hAnsi="Calibri"/>
          <w:lang w:val="en-US"/>
        </w:rPr>
        <w:t>issn</w:t>
      </w:r>
      <w:r>
        <w:rPr>
          <w:lang w:val="en-US"/>
        </w:rPr>
        <w:t xml:space="preserve">: 1573-5117. </w:t>
      </w:r>
      <w:r>
        <w:rPr>
          <w:rFonts w:eastAsia="Calibri" w:cs="Calibri" w:ascii="Calibri" w:hAnsi="Calibri"/>
          <w:lang w:val="en-US"/>
        </w:rPr>
        <w:t>doi</w:t>
      </w:r>
      <w:r>
        <w:rPr>
          <w:lang w:val="en-US"/>
        </w:rPr>
        <w:t xml:space="preserve">: </w:t>
      </w:r>
      <w:hyperlink r:id="rId76">
        <w:r>
          <w:rPr>
            <w:rStyle w:val="ListLabel10"/>
            <w:rFonts w:eastAsia="Calibri" w:cs="Calibri" w:ascii="Calibri" w:hAnsi="Calibri"/>
            <w:lang w:val="en-US"/>
          </w:rPr>
          <w:t>10.1007/s10750-005-1255-5</w:t>
        </w:r>
      </w:hyperlink>
      <w:hyperlink r:id="rId77">
        <w:r>
          <w:rPr>
            <w:rStyle w:val="ListLabel11"/>
            <w:lang w:val="en-US"/>
          </w:rPr>
          <w:t>.</w:t>
        </w:r>
      </w:hyperlink>
      <w:r>
        <w:rPr>
          <w:lang w:val="en-US"/>
        </w:rPr>
        <w:t xml:space="preserve"> </w:t>
      </w:r>
      <w:r>
        <w:rPr/>
        <w:t xml:space="preserve">[Online]. Available: </w:t>
      </w:r>
      <w:hyperlink r:id="rId78">
        <w:r>
          <w:rPr>
            <w:rStyle w:val="ListLabel12"/>
            <w:rFonts w:eastAsia="Calibri" w:cs="Calibri" w:ascii="Calibri" w:hAnsi="Calibri"/>
          </w:rPr>
          <w:t xml:space="preserve">https://doi.org/ </w:t>
        </w:r>
      </w:hyperlink>
      <w:hyperlink r:id="rId79">
        <w:r>
          <w:rPr>
            <w:rStyle w:val="ListLabel12"/>
            <w:rFonts w:eastAsia="Calibri" w:cs="Calibri" w:ascii="Calibri" w:hAnsi="Calibri"/>
          </w:rPr>
          <w:t>10.1007/s10750-005-1255-5</w:t>
        </w:r>
      </w:hyperlink>
      <w:hyperlink r:id="rId80">
        <w:r>
          <w:rPr>
            <w:rStyle w:val="ListLabel13"/>
          </w:rPr>
          <w:t>.</w:t>
        </w:r>
      </w:hyperlink>
    </w:p>
    <w:p>
      <w:pPr>
        <w:pStyle w:val="Normal"/>
        <w:numPr>
          <w:ilvl w:val="0"/>
          <w:numId w:val="1"/>
        </w:numPr>
        <w:ind w:left="509" w:right="284" w:hanging="509"/>
        <w:rPr/>
      </w:pPr>
      <w:r>
        <w:rPr>
          <w:lang w:val="en-US"/>
        </w:rPr>
        <w:t xml:space="preserve">N. L. Poff, J. D. Olden, N. K. M. Vieira, D. S. Finn, M. P. Simmons, and B. C. Kondratieff, “Functional trait niches of north american lotic insects: Traits-based ecological applications in light of phylogenetic relationships,” </w:t>
      </w:r>
      <w:r>
        <w:rPr>
          <w:i/>
          <w:lang w:val="en-US"/>
        </w:rPr>
        <w:t>Journal of the North American Benthological Society</w:t>
      </w:r>
      <w:r>
        <w:rPr>
          <w:lang w:val="en-US"/>
        </w:rPr>
        <w:t xml:space="preserve">, vol. 25, no. 4, pp. 730–755, 2006, </w:t>
      </w:r>
      <w:r>
        <w:rPr>
          <w:rFonts w:eastAsia="Calibri" w:cs="Calibri" w:ascii="Calibri" w:hAnsi="Calibri"/>
          <w:lang w:val="en-US"/>
        </w:rPr>
        <w:t>issn</w:t>
      </w:r>
      <w:r>
        <w:rPr>
          <w:lang w:val="en-US"/>
        </w:rPr>
        <w:t xml:space="preserve">: 0887-3593. </w:t>
      </w:r>
      <w:r>
        <w:rPr>
          <w:rFonts w:eastAsia="Calibri" w:cs="Calibri" w:ascii="Calibri" w:hAnsi="Calibri"/>
          <w:lang w:val="en-US"/>
        </w:rPr>
        <w:t>doi</w:t>
      </w:r>
      <w:r>
        <w:rPr>
          <w:lang w:val="en-US"/>
        </w:rPr>
        <w:t xml:space="preserve">: </w:t>
      </w:r>
      <w:hyperlink r:id="rId81">
        <w:r>
          <w:rPr>
            <w:rStyle w:val="ListLabel10"/>
            <w:rFonts w:eastAsia="Calibri" w:cs="Calibri" w:ascii="Calibri" w:hAnsi="Calibri"/>
            <w:lang w:val="en-US"/>
          </w:rPr>
          <w:t xml:space="preserve">10.1899/0887-3593(2006)025[0730: </w:t>
        </w:r>
      </w:hyperlink>
      <w:hyperlink r:id="rId82">
        <w:r>
          <w:rPr>
            <w:rStyle w:val="ListLabel10"/>
            <w:rFonts w:eastAsia="Calibri" w:cs="Calibri" w:ascii="Calibri" w:hAnsi="Calibri"/>
            <w:lang w:val="en-US"/>
          </w:rPr>
          <w:t>FTNONA]2.0.CO;2</w:t>
        </w:r>
      </w:hyperlink>
      <w:hyperlink r:id="rId83">
        <w:r>
          <w:rPr>
            <w:rStyle w:val="ListLabel11"/>
            <w:lang w:val="en-US"/>
          </w:rPr>
          <w:t>.</w:t>
        </w:r>
      </w:hyperlink>
      <w:r>
        <w:rPr>
          <w:lang w:val="en-US"/>
        </w:rPr>
        <w:t xml:space="preserve"> </w:t>
      </w:r>
      <w:r>
        <w:rPr/>
        <w:t xml:space="preserve">[Online]. Available: </w:t>
      </w:r>
      <w:hyperlink r:id="rId84">
        <w:r>
          <w:rPr>
            <w:rStyle w:val="ListLabel12"/>
            <w:rFonts w:eastAsia="Calibri" w:cs="Calibri" w:ascii="Calibri" w:hAnsi="Calibri"/>
          </w:rPr>
          <w:t>https://www.journals.uchicago.edu/doi/10.</w:t>
        </w:r>
      </w:hyperlink>
    </w:p>
    <w:p>
      <w:pPr>
        <w:pStyle w:val="Normal"/>
        <w:spacing w:lineRule="auto" w:line="252" w:before="0" w:after="78"/>
        <w:ind w:left="504" w:right="0" w:hanging="10"/>
        <w:jc w:val="left"/>
        <w:rPr/>
      </w:pPr>
      <w:hyperlink r:id="rId85">
        <w:r>
          <w:rPr>
            <w:rStyle w:val="ListLabel10"/>
            <w:rFonts w:eastAsia="Calibri" w:cs="Calibri" w:ascii="Calibri" w:hAnsi="Calibri"/>
            <w:lang w:val="en-US"/>
          </w:rPr>
          <w:t>1899/0887-3593%282006%29025%5B0730%3AFTNONA%5D2.0.CO%3B2</w:t>
        </w:r>
      </w:hyperlink>
      <w:hyperlink r:id="rId86">
        <w:r>
          <w:rPr>
            <w:rStyle w:val="ListLabel11"/>
            <w:lang w:val="en-US"/>
          </w:rPr>
          <w:t>.</w:t>
        </w:r>
      </w:hyperlink>
    </w:p>
    <w:p>
      <w:pPr>
        <w:pStyle w:val="Normal"/>
        <w:numPr>
          <w:ilvl w:val="0"/>
          <w:numId w:val="1"/>
        </w:numPr>
        <w:spacing w:before="0" w:after="70"/>
        <w:ind w:left="509" w:right="284" w:hanging="509"/>
        <w:rPr/>
      </w:pPr>
      <w:r>
        <w:rPr>
          <w:lang w:val="en-US"/>
        </w:rPr>
        <w:t xml:space="preserve">P. K. Botwe, S. Carver, R. Magierowski, P. McEvoy, P. Goonan, C. Madden, and L. A. Barmuta, “Effects of salinity and flow interactions on macroinvertebrate traits in temporary streams,” </w:t>
      </w:r>
      <w:r>
        <w:rPr>
          <w:i/>
          <w:lang w:val="en-US"/>
        </w:rPr>
        <w:t>Ecological Indicators</w:t>
      </w:r>
      <w:r>
        <w:rPr>
          <w:lang w:val="en-US"/>
        </w:rPr>
        <w:t xml:space="preserve">, vol. 89, pp. 74–83, 2018, </w:t>
      </w:r>
      <w:r>
        <w:rPr>
          <w:rFonts w:eastAsia="Calibri" w:cs="Calibri" w:ascii="Calibri" w:hAnsi="Calibri"/>
          <w:lang w:val="en-US"/>
        </w:rPr>
        <w:t>issn</w:t>
      </w:r>
      <w:r>
        <w:rPr>
          <w:lang w:val="en-US"/>
        </w:rPr>
        <w:t xml:space="preserve">: 1470160X. </w:t>
      </w:r>
      <w:r>
        <w:rPr>
          <w:rFonts w:eastAsia="Calibri" w:cs="Calibri" w:ascii="Calibri" w:hAnsi="Calibri"/>
          <w:lang w:val="en-US"/>
        </w:rPr>
        <w:t>doi</w:t>
      </w:r>
      <w:r>
        <w:rPr>
          <w:lang w:val="en-US"/>
        </w:rPr>
        <w:t xml:space="preserve">: </w:t>
      </w:r>
      <w:hyperlink r:id="rId87">
        <w:r>
          <w:rPr>
            <w:rStyle w:val="ListLabel10"/>
            <w:rFonts w:eastAsia="Calibri" w:cs="Calibri" w:ascii="Calibri" w:hAnsi="Calibri"/>
            <w:lang w:val="en-US"/>
          </w:rPr>
          <w:t xml:space="preserve">10.1016/ </w:t>
        </w:r>
      </w:hyperlink>
      <w:hyperlink r:id="rId88">
        <w:r>
          <w:rPr>
            <w:rStyle w:val="ListLabel10"/>
            <w:rFonts w:eastAsia="Calibri" w:cs="Calibri" w:ascii="Calibri" w:hAnsi="Calibri"/>
            <w:lang w:val="en-US"/>
          </w:rPr>
          <w:t>j.ecolind.2018.01.036</w:t>
        </w:r>
      </w:hyperlink>
      <w:hyperlink r:id="rId89">
        <w:r>
          <w:rPr>
            <w:rStyle w:val="ListLabel11"/>
            <w:lang w:val="en-US"/>
          </w:rPr>
          <w:t>.</w:t>
        </w:r>
      </w:hyperlink>
      <w:r>
        <w:rPr>
          <w:lang w:val="en-US"/>
        </w:rPr>
        <w:t xml:space="preserve"> </w:t>
      </w:r>
      <w:r>
        <w:rPr/>
        <w:t xml:space="preserve">[Online]. Available: </w:t>
      </w:r>
      <w:hyperlink r:id="rId90">
        <w:r>
          <w:rPr>
            <w:rStyle w:val="ListLabel12"/>
            <w:rFonts w:eastAsia="Calibri" w:cs="Calibri" w:ascii="Calibri" w:hAnsi="Calibri"/>
          </w:rPr>
          <w:t xml:space="preserve">https://linkinghub.elsevier.com/ </w:t>
        </w:r>
      </w:hyperlink>
      <w:hyperlink r:id="rId91">
        <w:r>
          <w:rPr>
            <w:rStyle w:val="ListLabel12"/>
            <w:rFonts w:eastAsia="Calibri" w:cs="Calibri" w:ascii="Calibri" w:hAnsi="Calibri"/>
          </w:rPr>
          <w:t>retrieve/pii/S1470160X18300384</w:t>
        </w:r>
      </w:hyperlink>
      <w:hyperlink r:id="rId92">
        <w:r>
          <w:rPr>
            <w:rStyle w:val="ListLabel13"/>
          </w:rPr>
          <w:t>.</w:t>
        </w:r>
      </w:hyperlink>
    </w:p>
    <w:p>
      <w:pPr>
        <w:pStyle w:val="Normal"/>
        <w:numPr>
          <w:ilvl w:val="0"/>
          <w:numId w:val="1"/>
        </w:numPr>
        <w:spacing w:before="0" w:after="28"/>
        <w:ind w:left="509" w:right="284" w:hanging="509"/>
        <w:rPr>
          <w:lang w:val="en-US"/>
        </w:rPr>
      </w:pPr>
      <w:r>
        <w:rPr>
          <w:lang w:val="en-US"/>
        </w:rPr>
        <w:t xml:space="preserve">R. B. Schäfer, B. J. Kefford, L. Metzeling, M. Liess, S. Burgert, R. Marchant, V. Pettigrove, P. Goonan, and D. Nugegoda, “A trait database of stream invertebrates for the ecological risk assessment of single and combined effects of salinity and pesticides in south-east australia,” </w:t>
      </w:r>
      <w:r>
        <w:rPr>
          <w:i/>
          <w:lang w:val="en-US"/>
        </w:rPr>
        <w:t>Science of The Total Environment</w:t>
      </w:r>
      <w:r>
        <w:rPr>
          <w:lang w:val="en-US"/>
        </w:rPr>
        <w:t xml:space="preserve">, vol. 409, no. 11, pp. 2055–2063, 2011, </w:t>
      </w:r>
      <w:r>
        <w:rPr>
          <w:rFonts w:eastAsia="Calibri" w:cs="Calibri" w:ascii="Calibri" w:hAnsi="Calibri"/>
          <w:lang w:val="en-US"/>
        </w:rPr>
        <w:t>issn</w:t>
      </w:r>
      <w:r>
        <w:rPr>
          <w:lang w:val="en-US"/>
        </w:rPr>
        <w:t xml:space="preserve">: 00489697. </w:t>
      </w:r>
      <w:r>
        <w:rPr>
          <w:rFonts w:eastAsia="Calibri" w:cs="Calibri" w:ascii="Calibri" w:hAnsi="Calibri"/>
          <w:lang w:val="en-US"/>
        </w:rPr>
        <w:t>doi</w:t>
      </w:r>
      <w:r>
        <w:rPr>
          <w:lang w:val="en-US"/>
        </w:rPr>
        <w:t>:</w:t>
      </w:r>
    </w:p>
    <w:p>
      <w:pPr>
        <w:pStyle w:val="Normal"/>
        <w:spacing w:lineRule="auto" w:line="259" w:before="0" w:after="0"/>
        <w:ind w:left="10" w:right="284" w:hanging="10"/>
        <w:jc w:val="right"/>
        <w:rPr/>
      </w:pPr>
      <w:hyperlink r:id="rId93">
        <w:r>
          <w:rPr>
            <w:rStyle w:val="ListLabel10"/>
            <w:rFonts w:eastAsia="Calibri" w:cs="Calibri" w:ascii="Calibri" w:hAnsi="Calibri"/>
            <w:lang w:val="en-US"/>
          </w:rPr>
          <w:t>10.1016/j.scitotenv.2011.01.053</w:t>
        </w:r>
      </w:hyperlink>
      <w:hyperlink r:id="rId94">
        <w:r>
          <w:rPr>
            <w:rStyle w:val="ListLabel11"/>
            <w:lang w:val="en-US"/>
          </w:rPr>
          <w:t>.</w:t>
        </w:r>
      </w:hyperlink>
      <w:r>
        <w:rPr>
          <w:lang w:val="en-US"/>
        </w:rPr>
        <w:t xml:space="preserve"> [Online]. Available: </w:t>
      </w:r>
      <w:hyperlink r:id="rId95">
        <w:r>
          <w:rPr>
            <w:rStyle w:val="ListLabel10"/>
            <w:rFonts w:eastAsia="Calibri" w:cs="Calibri" w:ascii="Calibri" w:hAnsi="Calibri"/>
            <w:lang w:val="en-US"/>
          </w:rPr>
          <w:t>http://linkinghub.elsevier.</w:t>
        </w:r>
      </w:hyperlink>
    </w:p>
    <w:p>
      <w:pPr>
        <w:pStyle w:val="Normal"/>
        <w:spacing w:lineRule="auto" w:line="252" w:before="0" w:after="78"/>
        <w:ind w:left="504" w:right="0" w:hanging="10"/>
        <w:jc w:val="left"/>
        <w:rPr/>
      </w:pPr>
      <w:hyperlink r:id="rId96">
        <w:r>
          <w:rPr>
            <w:rStyle w:val="ListLabel12"/>
            <w:rFonts w:eastAsia="Calibri" w:cs="Calibri" w:ascii="Calibri" w:hAnsi="Calibri"/>
          </w:rPr>
          <w:t>com/retrieve/pii/S0048969711001124</w:t>
        </w:r>
      </w:hyperlink>
      <w:hyperlink r:id="rId97">
        <w:r>
          <w:rPr>
            <w:rStyle w:val="ListLabel13"/>
          </w:rPr>
          <w:t>.</w:t>
        </w:r>
      </w:hyperlink>
    </w:p>
    <w:p>
      <w:pPr>
        <w:pStyle w:val="Normal"/>
        <w:numPr>
          <w:ilvl w:val="0"/>
          <w:numId w:val="1"/>
        </w:numPr>
        <w:ind w:left="509" w:right="284" w:hanging="509"/>
        <w:rPr/>
      </w:pPr>
      <w:r>
        <w:rPr>
          <w:lang w:val="en-US"/>
        </w:rPr>
        <w:t xml:space="preserve">D. Schmera, J. Podani, J. Heino, T. Er˝os, and N. L. Poff, “A proposed unified terminology of species traits in stream ecology,” </w:t>
      </w:r>
      <w:r>
        <w:rPr>
          <w:i/>
          <w:lang w:val="en-US"/>
        </w:rPr>
        <w:t>Freshwater Science</w:t>
      </w:r>
      <w:r>
        <w:rPr>
          <w:lang w:val="en-US"/>
        </w:rPr>
        <w:t xml:space="preserve">, vol. 34, no. 3, pp. 823–830, 2015, </w:t>
      </w:r>
      <w:r>
        <w:rPr>
          <w:rFonts w:eastAsia="Calibri" w:cs="Calibri" w:ascii="Calibri" w:hAnsi="Calibri"/>
          <w:lang w:val="en-US"/>
        </w:rPr>
        <w:t>issn</w:t>
      </w:r>
      <w:r>
        <w:rPr>
          <w:lang w:val="en-US"/>
        </w:rPr>
        <w:t xml:space="preserve">: 2161-9549, 2161-9565. </w:t>
      </w:r>
      <w:r>
        <w:rPr>
          <w:rFonts w:eastAsia="Calibri" w:cs="Calibri" w:ascii="Calibri" w:hAnsi="Calibri"/>
          <w:lang w:val="en-US"/>
        </w:rPr>
        <w:t>doi</w:t>
      </w:r>
      <w:r>
        <w:rPr>
          <w:lang w:val="en-US"/>
        </w:rPr>
        <w:t xml:space="preserve">: </w:t>
      </w:r>
      <w:hyperlink r:id="rId98">
        <w:r>
          <w:rPr>
            <w:rStyle w:val="ListLabel10"/>
            <w:rFonts w:eastAsia="Calibri" w:cs="Calibri" w:ascii="Calibri" w:hAnsi="Calibri"/>
            <w:lang w:val="en-US"/>
          </w:rPr>
          <w:t>10.1086/681623</w:t>
        </w:r>
      </w:hyperlink>
      <w:hyperlink r:id="rId99">
        <w:r>
          <w:rPr>
            <w:rStyle w:val="ListLabel11"/>
            <w:lang w:val="en-US"/>
          </w:rPr>
          <w:t>.</w:t>
        </w:r>
      </w:hyperlink>
      <w:r>
        <w:rPr>
          <w:lang w:val="en-US"/>
        </w:rPr>
        <w:t xml:space="preserve"> </w:t>
      </w:r>
      <w:r>
        <w:rPr/>
        <w:t xml:space="preserve">[Online]. Available: </w:t>
      </w:r>
      <w:hyperlink r:id="rId100">
        <w:r>
          <w:rPr>
            <w:rStyle w:val="ListLabel12"/>
            <w:rFonts w:eastAsia="Calibri" w:cs="Calibri" w:ascii="Calibri" w:hAnsi="Calibri"/>
          </w:rPr>
          <w:t>https://www.journals.</w:t>
        </w:r>
      </w:hyperlink>
    </w:p>
    <w:p>
      <w:pPr>
        <w:pStyle w:val="Normal"/>
        <w:spacing w:lineRule="auto" w:line="252" w:before="0" w:after="78"/>
        <w:ind w:left="504" w:right="0" w:hanging="10"/>
        <w:jc w:val="left"/>
        <w:rPr/>
      </w:pPr>
      <w:hyperlink r:id="rId101">
        <w:r>
          <w:rPr>
            <w:rStyle w:val="ListLabel12"/>
            <w:rFonts w:eastAsia="Calibri" w:cs="Calibri" w:ascii="Calibri" w:hAnsi="Calibri"/>
          </w:rPr>
          <w:t>uchicago.edu/doi/10.1086/681623</w:t>
        </w:r>
      </w:hyperlink>
      <w:hyperlink r:id="rId102">
        <w:r>
          <w:rPr>
            <w:rStyle w:val="ListLabel13"/>
          </w:rPr>
          <w:t>.</w:t>
        </w:r>
      </w:hyperlink>
    </w:p>
    <w:p>
      <w:pPr>
        <w:pStyle w:val="Normal"/>
        <w:numPr>
          <w:ilvl w:val="0"/>
          <w:numId w:val="1"/>
        </w:numPr>
        <w:ind w:left="509" w:right="284" w:hanging="509"/>
        <w:rPr/>
      </w:pPr>
      <w:r>
        <w:rPr/>
        <w:t xml:space="preserve">L. E. Brown, K. Khamis, M. Wilkes, P. Blaen, J. E. Brittain, J. L. Carrivick, S. Fell, N. Friberg, L. Fu¨reder, G. M. Gislason, S. Hainie, D. M. Hannah, W. H. M. James, V. Lencioni, J. S. Olafsson, C. T. Robinson, S. J. Saltveit, C. Thompson, and A. M. Milner, “Functional diversity and community assembly of river invertebrates show globally consistent responses to decreasing glacier cover,” </w:t>
      </w:r>
      <w:r>
        <w:rPr>
          <w:i/>
        </w:rPr>
        <w:t>Nature Ecology &amp; Evolution</w:t>
      </w:r>
      <w:r>
        <w:rPr/>
        <w:t xml:space="preserve">, vol. 2, no. 2, pp. 325–333, 2018, </w:t>
      </w:r>
      <w:r>
        <w:rPr>
          <w:rFonts w:eastAsia="Calibri" w:cs="Calibri" w:ascii="Calibri" w:hAnsi="Calibri"/>
        </w:rPr>
        <w:t>issn</w:t>
      </w:r>
      <w:r>
        <w:rPr/>
        <w:t xml:space="preserve">: 2397-334X. </w:t>
      </w:r>
      <w:r>
        <w:rPr>
          <w:rFonts w:eastAsia="Calibri" w:cs="Calibri" w:ascii="Calibri" w:hAnsi="Calibri"/>
        </w:rPr>
        <w:t>doi</w:t>
      </w:r>
      <w:r>
        <w:rPr/>
        <w:t xml:space="preserve">: </w:t>
      </w:r>
      <w:hyperlink r:id="rId103">
        <w:r>
          <w:rPr>
            <w:rStyle w:val="ListLabel12"/>
            <w:rFonts w:eastAsia="Calibri" w:cs="Calibri" w:ascii="Calibri" w:hAnsi="Calibri"/>
          </w:rPr>
          <w:t>10.1038/s41559-017-0426-x</w:t>
        </w:r>
      </w:hyperlink>
      <w:hyperlink r:id="rId104">
        <w:r>
          <w:rPr>
            <w:rStyle w:val="ListLabel13"/>
          </w:rPr>
          <w:t>.</w:t>
        </w:r>
      </w:hyperlink>
      <w:r>
        <w:rPr/>
        <w:t xml:space="preserve"> [Online]. Available: </w:t>
      </w:r>
      <w:hyperlink r:id="rId105">
        <w:r>
          <w:rPr>
            <w:rStyle w:val="ListLabel12"/>
            <w:rFonts w:eastAsia="Calibri" w:cs="Calibri" w:ascii="Calibri" w:hAnsi="Calibri"/>
          </w:rPr>
          <w:t>http://www.nature.</w:t>
        </w:r>
      </w:hyperlink>
    </w:p>
    <w:p>
      <w:pPr>
        <w:pStyle w:val="Normal"/>
        <w:spacing w:lineRule="auto" w:line="252" w:before="0" w:after="78"/>
        <w:ind w:left="504" w:right="0" w:hanging="10"/>
        <w:jc w:val="left"/>
        <w:rPr/>
      </w:pPr>
      <w:hyperlink r:id="rId106">
        <w:r>
          <w:rPr>
            <w:rStyle w:val="ListLabel12"/>
            <w:rFonts w:eastAsia="Calibri" w:cs="Calibri" w:ascii="Calibri" w:hAnsi="Calibri"/>
          </w:rPr>
          <w:t>com/articles/s41559-017-0426-x</w:t>
        </w:r>
      </w:hyperlink>
      <w:hyperlink r:id="rId107">
        <w:r>
          <w:rPr>
            <w:rStyle w:val="ListLabel13"/>
          </w:rPr>
          <w:t>.</w:t>
        </w:r>
      </w:hyperlink>
    </w:p>
    <w:p>
      <w:pPr>
        <w:pStyle w:val="Normal"/>
        <w:numPr>
          <w:ilvl w:val="0"/>
          <w:numId w:val="1"/>
        </w:numPr>
        <w:ind w:left="509" w:right="284" w:hanging="509"/>
        <w:rPr/>
      </w:pPr>
      <w:r>
        <w:rPr/>
        <w:t xml:space="preserve">F. D. Schneider, D. Fichtmueller, M. M. Gossner, A. Gu¨ntsch, M. Jochum, B. K¨onig-Ries, G. Le Provost, P. Manning, A. Ostrowski, C. Penone, and N. K. Simons, “Towards an ecological trait-data standard,” </w:t>
      </w:r>
      <w:r>
        <w:rPr>
          <w:i/>
        </w:rPr>
        <w:t>Methods in Ecology and Evolution</w:t>
      </w:r>
      <w:r>
        <w:rPr/>
        <w:t xml:space="preserve">, D. Orme, Ed., pp. 2041–210X.13288, 2019, </w:t>
      </w:r>
      <w:r>
        <w:rPr>
          <w:rFonts w:eastAsia="Calibri" w:cs="Calibri" w:ascii="Calibri" w:hAnsi="Calibri"/>
        </w:rPr>
        <w:t>issn</w:t>
      </w:r>
      <w:r>
        <w:rPr/>
        <w:t xml:space="preserve">: 2041-210X, 2041-210X. </w:t>
      </w:r>
      <w:r>
        <w:rPr>
          <w:rFonts w:eastAsia="Calibri" w:cs="Calibri" w:ascii="Calibri" w:hAnsi="Calibri"/>
        </w:rPr>
        <w:t>doi</w:t>
      </w:r>
      <w:r>
        <w:rPr/>
        <w:t xml:space="preserve">: </w:t>
      </w:r>
      <w:hyperlink r:id="rId108">
        <w:r>
          <w:rPr>
            <w:rStyle w:val="ListLabel12"/>
            <w:rFonts w:eastAsia="Calibri" w:cs="Calibri" w:ascii="Calibri" w:hAnsi="Calibri"/>
          </w:rPr>
          <w:t>10.1111/2041-210X.13288</w:t>
        </w:r>
      </w:hyperlink>
      <w:hyperlink r:id="rId109">
        <w:r>
          <w:rPr>
            <w:rStyle w:val="ListLabel13"/>
          </w:rPr>
          <w:t>.</w:t>
        </w:r>
      </w:hyperlink>
      <w:r>
        <w:rPr/>
        <w:t xml:space="preserve"> [Online]. Available:</w:t>
      </w:r>
    </w:p>
    <w:p>
      <w:pPr>
        <w:pStyle w:val="Normal"/>
        <w:spacing w:lineRule="auto" w:line="252" w:before="0" w:after="78"/>
        <w:ind w:left="504" w:right="0" w:hanging="10"/>
        <w:jc w:val="left"/>
        <w:rPr/>
      </w:pPr>
      <w:hyperlink r:id="rId110">
        <w:r>
          <w:rPr>
            <w:rStyle w:val="ListLabel12"/>
            <w:rFonts w:eastAsia="Calibri" w:cs="Calibri" w:ascii="Calibri" w:hAnsi="Calibri"/>
          </w:rPr>
          <w:t>https://onlinelibrary.wiley.com/doi/abs/10.1111/2041-210X.13288</w:t>
        </w:r>
      </w:hyperlink>
      <w:hyperlink r:id="rId111">
        <w:r>
          <w:rPr>
            <w:rStyle w:val="ListLabel13"/>
          </w:rPr>
          <w:t>.</w:t>
        </w:r>
      </w:hyperlink>
    </w:p>
    <w:p>
      <w:pPr>
        <w:pStyle w:val="Normal"/>
        <w:numPr>
          <w:ilvl w:val="0"/>
          <w:numId w:val="1"/>
        </w:numPr>
        <w:spacing w:before="0" w:after="82"/>
        <w:ind w:left="509" w:right="284" w:hanging="509"/>
        <w:rPr/>
      </w:pPr>
      <w:r>
        <w:rPr/>
        <w:t xml:space="preserve">J. M. Culp, D. G. Armanini, M. J. Dunbar, J. M. Orlofske, N. L. Poff, A. I. Pollard, A. G. Yates, and G. C. Hose, “Incorporating traits in aquatic biomonitoring to enhance causal diagnosis and prediction,” </w:t>
      </w:r>
      <w:r>
        <w:rPr>
          <w:i/>
        </w:rPr>
        <w:t>Integrated Environmental Assessment and Management</w:t>
      </w:r>
      <w:r>
        <w:rPr/>
        <w:t xml:space="preserve">, vol. 7, no. 2, pp. 187–197, 2011, eprint: https://setac.onlinelibrary.wiley.com/doi/pdf/10.1002/ieam.128, </w:t>
      </w:r>
      <w:r>
        <w:rPr>
          <w:rFonts w:eastAsia="Calibri" w:cs="Calibri" w:ascii="Calibri" w:hAnsi="Calibri"/>
        </w:rPr>
        <w:t>issn</w:t>
      </w:r>
      <w:r>
        <w:rPr/>
        <w:t xml:space="preserve">: 1551-3793. </w:t>
      </w:r>
      <w:r>
        <w:rPr>
          <w:rFonts w:eastAsia="Calibri" w:cs="Calibri" w:ascii="Calibri" w:hAnsi="Calibri"/>
        </w:rPr>
        <w:t>doi</w:t>
      </w:r>
      <w:r>
        <w:rPr/>
        <w:t xml:space="preserve">: </w:t>
      </w:r>
      <w:hyperlink r:id="rId112">
        <w:r>
          <w:rPr>
            <w:rStyle w:val="ListLabel12"/>
            <w:rFonts w:eastAsia="Calibri" w:cs="Calibri" w:ascii="Calibri" w:hAnsi="Calibri"/>
          </w:rPr>
          <w:t>10.1002/ieam.128</w:t>
        </w:r>
      </w:hyperlink>
      <w:hyperlink r:id="rId113">
        <w:r>
          <w:rPr>
            <w:rStyle w:val="ListLabel13"/>
          </w:rPr>
          <w:t>.</w:t>
        </w:r>
      </w:hyperlink>
      <w:r>
        <w:rPr/>
        <w:t xml:space="preserve"> [Online]. Available: </w:t>
      </w:r>
      <w:hyperlink r:id="rId114">
        <w:r>
          <w:rPr>
            <w:rStyle w:val="ListLabel12"/>
            <w:rFonts w:eastAsia="Calibri" w:cs="Calibri" w:ascii="Calibri" w:hAnsi="Calibri"/>
          </w:rPr>
          <w:t>https://setac.onlinelibrary</w:t>
        </w:r>
      </w:hyperlink>
      <w:r>
        <w:rPr>
          <w:rFonts w:eastAsia="Calibri" w:cs="Calibri" w:ascii="Calibri" w:hAnsi="Calibri"/>
        </w:rPr>
        <w:t xml:space="preserve">. </w:t>
      </w:r>
      <w:hyperlink r:id="rId115">
        <w:r>
          <w:rPr>
            <w:rStyle w:val="ListLabel12"/>
            <w:rFonts w:eastAsia="Calibri" w:cs="Calibri" w:ascii="Calibri" w:hAnsi="Calibri"/>
          </w:rPr>
          <w:t>wiley.com/doi/abs/10.1002/ieam.128</w:t>
        </w:r>
      </w:hyperlink>
      <w:hyperlink r:id="rId116">
        <w:r>
          <w:rPr>
            <w:rStyle w:val="ListLabel13"/>
          </w:rPr>
          <w:t>.</w:t>
        </w:r>
      </w:hyperlink>
    </w:p>
    <w:p>
      <w:pPr>
        <w:pStyle w:val="Normal"/>
        <w:numPr>
          <w:ilvl w:val="0"/>
          <w:numId w:val="1"/>
        </w:numPr>
        <w:spacing w:before="0" w:after="81"/>
        <w:ind w:left="509" w:right="284" w:hanging="509"/>
        <w:rPr/>
      </w:pPr>
      <w:r>
        <w:rPr/>
        <w:t xml:space="preserve">K. Voß and R. Sch¨afer, “Taxonomic and functional diversity of stream invertebrates along an environmental stress gradient,” </w:t>
      </w:r>
      <w:r>
        <w:rPr>
          <w:i/>
        </w:rPr>
        <w:t>Ecological Indicators</w:t>
      </w:r>
      <w:r>
        <w:rPr/>
        <w:t xml:space="preserve">, vol. 81, pp. 235–242, 2017, </w:t>
      </w:r>
      <w:r>
        <w:rPr>
          <w:rFonts w:eastAsia="Calibri" w:cs="Calibri" w:ascii="Calibri" w:hAnsi="Calibri"/>
        </w:rPr>
        <w:t>issn</w:t>
      </w:r>
      <w:r>
        <w:rPr/>
        <w:t xml:space="preserve">: 1470160X. </w:t>
      </w:r>
      <w:r>
        <w:rPr>
          <w:rFonts w:eastAsia="Calibri" w:cs="Calibri" w:ascii="Calibri" w:hAnsi="Calibri"/>
        </w:rPr>
        <w:t>doi</w:t>
      </w:r>
      <w:r>
        <w:rPr/>
        <w:t xml:space="preserve">: </w:t>
      </w:r>
      <w:hyperlink r:id="rId117">
        <w:r>
          <w:rPr>
            <w:rStyle w:val="ListLabel12"/>
            <w:rFonts w:eastAsia="Calibri" w:cs="Calibri" w:ascii="Calibri" w:hAnsi="Calibri"/>
          </w:rPr>
          <w:t>10.1016/j.ecolind.2017.05.072</w:t>
        </w:r>
      </w:hyperlink>
      <w:hyperlink r:id="rId118">
        <w:r>
          <w:rPr>
            <w:rStyle w:val="ListLabel13"/>
          </w:rPr>
          <w:t>.</w:t>
        </w:r>
      </w:hyperlink>
      <w:r>
        <w:rPr/>
        <w:t xml:space="preserve"> [Online]. Available: </w:t>
      </w:r>
      <w:hyperlink r:id="rId119">
        <w:r>
          <w:rPr>
            <w:rStyle w:val="ListLabel12"/>
            <w:rFonts w:eastAsia="Calibri" w:cs="Calibri" w:ascii="Calibri" w:hAnsi="Calibri"/>
          </w:rPr>
          <w:t xml:space="preserve">http://linkinghub. </w:t>
        </w:r>
      </w:hyperlink>
      <w:hyperlink r:id="rId120">
        <w:r>
          <w:rPr>
            <w:rStyle w:val="ListLabel12"/>
            <w:rFonts w:eastAsia="Calibri" w:cs="Calibri" w:ascii="Calibri" w:hAnsi="Calibri"/>
          </w:rPr>
          <w:t>elsevier.com/retrieve/pii/S1470160X17303412</w:t>
        </w:r>
      </w:hyperlink>
      <w:hyperlink r:id="rId121">
        <w:r>
          <w:rPr>
            <w:rStyle w:val="ListLabel13"/>
          </w:rPr>
          <w:t>.</w:t>
        </w:r>
      </w:hyperlink>
    </w:p>
    <w:p>
      <w:pPr>
        <w:pStyle w:val="Normal"/>
        <w:numPr>
          <w:ilvl w:val="0"/>
          <w:numId w:val="1"/>
        </w:numPr>
        <w:spacing w:before="0" w:after="86"/>
        <w:ind w:left="509" w:right="284" w:hanging="509"/>
        <w:rPr/>
      </w:pPr>
      <w:r>
        <w:rPr/>
        <w:t xml:space="preserve">Pili`ere A. F. H., Verberk W. C. E. P., Gr¨awe M., Breure A. M., Dyer S. D., Posthuma L., Zwart D., Huijbregts M. A. J., and Schipper A. M., “On the importance of trait interrelationships for understanding environmental responses of stream macroinvertebrates,” </w:t>
      </w:r>
      <w:r>
        <w:rPr>
          <w:i/>
        </w:rPr>
        <w:t>Freshwater Biology</w:t>
      </w:r>
      <w:r>
        <w:rPr/>
        <w:t xml:space="preserve">, vol. 61, no. 2, pp. 181–194, 2016, </w:t>
      </w:r>
      <w:r>
        <w:rPr>
          <w:rFonts w:eastAsia="Calibri" w:cs="Calibri" w:ascii="Calibri" w:hAnsi="Calibri"/>
        </w:rPr>
        <w:t>issn</w:t>
      </w:r>
      <w:r>
        <w:rPr/>
        <w:t xml:space="preserve">: 0046-5070. </w:t>
      </w:r>
      <w:r>
        <w:rPr>
          <w:rFonts w:eastAsia="Calibri" w:cs="Calibri" w:ascii="Calibri" w:hAnsi="Calibri"/>
        </w:rPr>
        <w:t>doi</w:t>
      </w:r>
      <w:r>
        <w:rPr/>
        <w:t xml:space="preserve">: </w:t>
      </w:r>
      <w:hyperlink r:id="rId122">
        <w:r>
          <w:rPr>
            <w:rStyle w:val="ListLabel12"/>
            <w:rFonts w:eastAsia="Calibri" w:cs="Calibri" w:ascii="Calibri" w:hAnsi="Calibri"/>
          </w:rPr>
          <w:t>10.1111/fwb.12690</w:t>
        </w:r>
      </w:hyperlink>
      <w:hyperlink r:id="rId123">
        <w:r>
          <w:rPr>
            <w:rStyle w:val="ListLabel13"/>
          </w:rPr>
          <w:t>.</w:t>
        </w:r>
      </w:hyperlink>
      <w:r>
        <w:rPr/>
        <w:t xml:space="preserve"> [Online]. Available: </w:t>
      </w:r>
      <w:hyperlink r:id="rId124">
        <w:r>
          <w:rPr>
            <w:rStyle w:val="ListLabel12"/>
            <w:rFonts w:eastAsia="Calibri" w:cs="Calibri" w:ascii="Calibri" w:hAnsi="Calibri"/>
          </w:rPr>
          <w:t>https://onlinelibrary.wiley.com/doi/abs/10.1111/fwb.12690</w:t>
        </w:r>
      </w:hyperlink>
      <w:hyperlink r:id="rId125">
        <w:r>
          <w:rPr>
            <w:rStyle w:val="ListLabel13"/>
          </w:rPr>
          <w:t>.</w:t>
        </w:r>
      </w:hyperlink>
    </w:p>
    <w:p>
      <w:pPr>
        <w:pStyle w:val="Normal"/>
        <w:numPr>
          <w:ilvl w:val="0"/>
          <w:numId w:val="1"/>
        </w:numPr>
        <w:spacing w:before="0" w:after="83"/>
        <w:ind w:left="509" w:right="284" w:hanging="509"/>
        <w:rPr/>
      </w:pPr>
      <w:r>
        <w:rPr/>
        <w:t xml:space="preserve">T. W. H. Aspin, K. Khamis, T. J. Matthews, A. M. Milner, M. J. O’Callaghan, M. Trimmer, G. Woodward, and M. E. Ledger, “Extreme drought pushes stream invertebrate communities over functional thresholds,” </w:t>
      </w:r>
      <w:r>
        <w:rPr>
          <w:i/>
        </w:rPr>
        <w:t>Global Change Biology</w:t>
      </w:r>
      <w:r>
        <w:rPr/>
        <w:t xml:space="preserve">, vol. 25, no. 1, pp. 230–244, 2019, </w:t>
      </w:r>
      <w:r>
        <w:rPr>
          <w:rFonts w:eastAsia="Calibri" w:cs="Calibri" w:ascii="Calibri" w:hAnsi="Calibri"/>
        </w:rPr>
        <w:t>issn</w:t>
      </w:r>
      <w:r>
        <w:rPr/>
        <w:t xml:space="preserve">: 1365-2486. </w:t>
      </w:r>
      <w:r>
        <w:rPr>
          <w:rFonts w:eastAsia="Calibri" w:cs="Calibri" w:ascii="Calibri" w:hAnsi="Calibri"/>
        </w:rPr>
        <w:t>doi</w:t>
      </w:r>
      <w:r>
        <w:rPr/>
        <w:t xml:space="preserve">: </w:t>
      </w:r>
      <w:hyperlink r:id="rId126">
        <w:r>
          <w:rPr>
            <w:rStyle w:val="ListLabel12"/>
            <w:rFonts w:eastAsia="Calibri" w:cs="Calibri" w:ascii="Calibri" w:hAnsi="Calibri"/>
          </w:rPr>
          <w:t>10.1111/gcb.14495</w:t>
        </w:r>
      </w:hyperlink>
      <w:hyperlink r:id="rId127">
        <w:r>
          <w:rPr>
            <w:rStyle w:val="ListLabel13"/>
          </w:rPr>
          <w:t>.</w:t>
        </w:r>
      </w:hyperlink>
      <w:r>
        <w:rPr/>
        <w:t xml:space="preserve"> [Online]. Available: </w:t>
      </w:r>
      <w:hyperlink r:id="rId128">
        <w:r>
          <w:rPr>
            <w:rStyle w:val="ListLabel12"/>
            <w:rFonts w:eastAsia="Calibri" w:cs="Calibri" w:ascii="Calibri" w:hAnsi="Calibri"/>
          </w:rPr>
          <w:t xml:space="preserve">https://onlinelibrary.wiley. </w:t>
        </w:r>
      </w:hyperlink>
      <w:hyperlink r:id="rId129">
        <w:r>
          <w:rPr>
            <w:rStyle w:val="ListLabel12"/>
            <w:rFonts w:eastAsia="Calibri" w:cs="Calibri" w:ascii="Calibri" w:hAnsi="Calibri"/>
          </w:rPr>
          <w:t>com/doi/abs/10.1111/gcb.14495</w:t>
        </w:r>
      </w:hyperlink>
      <w:hyperlink r:id="rId130">
        <w:r>
          <w:rPr>
            <w:rStyle w:val="ListLabel13"/>
          </w:rPr>
          <w:t>.</w:t>
        </w:r>
      </w:hyperlink>
    </w:p>
    <w:p>
      <w:pPr>
        <w:pStyle w:val="Normal"/>
        <w:numPr>
          <w:ilvl w:val="0"/>
          <w:numId w:val="1"/>
        </w:numPr>
        <w:ind w:left="509" w:right="284" w:hanging="509"/>
        <w:rPr/>
      </w:pPr>
      <w:r>
        <w:rPr/>
        <w:t xml:space="preserve">C. Magliozzi, P. Usseglio-Polatera, A. Meyer, and R. C. Grabowski, “Functional traits of hyporheic and benthic invertebrates reveal importance of wood-driven geomorphological processes in rivers,” </w:t>
      </w:r>
      <w:r>
        <w:rPr>
          <w:i/>
        </w:rPr>
        <w:t>Functional Ecology</w:t>
      </w:r>
      <w:r>
        <w:rPr/>
        <w:t xml:space="preserve">, vol. 33, no. 9, J. Alahuhta, Ed., pp. 1758–1770, 2019, </w:t>
      </w:r>
      <w:r>
        <w:rPr>
          <w:rFonts w:eastAsia="Calibri" w:cs="Calibri" w:ascii="Calibri" w:hAnsi="Calibri"/>
        </w:rPr>
        <w:t>issn</w:t>
      </w:r>
      <w:r>
        <w:rPr/>
        <w:t xml:space="preserve">: 0269-8463, 1365-2435. </w:t>
      </w:r>
      <w:r>
        <w:rPr>
          <w:rFonts w:eastAsia="Calibri" w:cs="Calibri" w:ascii="Calibri" w:hAnsi="Calibri"/>
        </w:rPr>
        <w:t>doi</w:t>
      </w:r>
      <w:r>
        <w:rPr/>
        <w:t xml:space="preserve">: </w:t>
      </w:r>
      <w:hyperlink r:id="rId131">
        <w:r>
          <w:rPr>
            <w:rStyle w:val="ListLabel12"/>
            <w:rFonts w:eastAsia="Calibri" w:cs="Calibri" w:ascii="Calibri" w:hAnsi="Calibri"/>
          </w:rPr>
          <w:t>10.1111/1365-2435.13381</w:t>
        </w:r>
      </w:hyperlink>
      <w:hyperlink r:id="rId132">
        <w:r>
          <w:rPr>
            <w:rStyle w:val="ListLabel13"/>
          </w:rPr>
          <w:t>.</w:t>
        </w:r>
      </w:hyperlink>
      <w:r>
        <w:rPr/>
        <w:t xml:space="preserve"> [Online]. Available: </w:t>
      </w:r>
      <w:hyperlink r:id="rId133">
        <w:r>
          <w:rPr>
            <w:rStyle w:val="ListLabel12"/>
            <w:rFonts w:eastAsia="Calibri" w:cs="Calibri" w:ascii="Calibri" w:hAnsi="Calibri"/>
          </w:rPr>
          <w:t>https:</w:t>
        </w:r>
      </w:hyperlink>
    </w:p>
    <w:p>
      <w:pPr>
        <w:pStyle w:val="Normal"/>
        <w:spacing w:lineRule="auto" w:line="252" w:before="0" w:after="78"/>
        <w:ind w:left="504" w:right="0" w:hanging="10"/>
        <w:jc w:val="left"/>
        <w:rPr/>
      </w:pPr>
      <w:hyperlink r:id="rId134">
        <w:r>
          <w:rPr>
            <w:rStyle w:val="ListLabel12"/>
            <w:rFonts w:eastAsia="Calibri" w:cs="Calibri" w:ascii="Calibri" w:hAnsi="Calibri"/>
          </w:rPr>
          <w:t>//onlinelibrary.wiley.com/doi/abs/10.1111/1365-2435.13381</w:t>
        </w:r>
      </w:hyperlink>
      <w:hyperlink r:id="rId135">
        <w:r>
          <w:rPr>
            <w:rStyle w:val="ListLabel13"/>
          </w:rPr>
          <w:t>.</w:t>
        </w:r>
      </w:hyperlink>
    </w:p>
    <w:p>
      <w:pPr>
        <w:pStyle w:val="Normal"/>
        <w:numPr>
          <w:ilvl w:val="0"/>
          <w:numId w:val="1"/>
        </w:numPr>
        <w:spacing w:before="0" w:after="94"/>
        <w:ind w:left="509" w:right="284" w:hanging="509"/>
        <w:rPr/>
      </w:pPr>
      <w:r>
        <w:rPr/>
        <w:t xml:space="preserve">L. A. Twardochleb, E. Hilter, M. Pyne, P. Bills, and P. L. Zarnetske, </w:t>
      </w:r>
      <w:r>
        <w:rPr>
          <w:i/>
        </w:rPr>
        <w:t xml:space="preserve">Freshwater insect occurrences and traits for the contiguous united states, 2001 - 2018 ver 5. environmental data initiative. </w:t>
      </w:r>
      <w:r>
        <w:rPr/>
        <w:t>https://doi.org/10.6073/pasta/8238ea9bc15840844b3a023b6b6ed158, 2020.</w:t>
      </w:r>
    </w:p>
    <w:p>
      <w:pPr>
        <w:pStyle w:val="Normal"/>
        <w:numPr>
          <w:ilvl w:val="0"/>
          <w:numId w:val="1"/>
        </w:numPr>
        <w:spacing w:before="0" w:after="102"/>
        <w:ind w:left="509" w:right="284" w:hanging="509"/>
        <w:rPr/>
      </w:pPr>
      <w:r>
        <w:rPr/>
        <w:t xml:space="preserve">P. Usseglio-Polatera, </w:t>
      </w:r>
      <w:r>
        <w:rPr>
          <w:i/>
        </w:rPr>
        <w:t xml:space="preserve">Personal information on body form traits. </w:t>
      </w:r>
      <w:r>
        <w:rPr/>
        <w:t>Personal information, 2020.</w:t>
      </w:r>
    </w:p>
    <w:p>
      <w:pPr>
        <w:pStyle w:val="Normal"/>
        <w:numPr>
          <w:ilvl w:val="0"/>
          <w:numId w:val="1"/>
        </w:numPr>
        <w:spacing w:lineRule="auto" w:line="264" w:before="0" w:after="94"/>
        <w:ind w:left="509" w:right="284" w:hanging="509"/>
        <w:rPr/>
      </w:pPr>
      <w:r>
        <w:rPr/>
        <w:t>——</w:t>
      </w:r>
      <w:r>
        <w:rPr/>
        <w:t xml:space="preserve">, </w:t>
      </w:r>
      <w:r>
        <w:rPr>
          <w:i/>
        </w:rPr>
        <w:t xml:space="preserve">Classification of piercers as herbivores or predators. </w:t>
      </w:r>
      <w:r>
        <w:rPr/>
        <w:t>Personal information, 2020.</w:t>
      </w:r>
    </w:p>
    <w:p>
      <w:pPr>
        <w:pStyle w:val="Normal"/>
        <w:numPr>
          <w:ilvl w:val="0"/>
          <w:numId w:val="1"/>
        </w:numPr>
        <w:ind w:left="509" w:right="284" w:hanging="509"/>
        <w:rPr/>
      </w:pPr>
      <w:r>
        <w:rPr/>
        <w:t xml:space="preserve">B. C. Chessman, “Dissolved-oxygen, current and temperature preferences of stream invertebrates estimated from field distributions: Application to assemblage responses to drought,” </w:t>
      </w:r>
      <w:r>
        <w:rPr>
          <w:i/>
        </w:rPr>
        <w:t>Hydrobiologia</w:t>
      </w:r>
      <w:r>
        <w:rPr/>
        <w:t xml:space="preserve">, vol. 809, no. 1, pp. 141–153, 2018, </w:t>
      </w:r>
      <w:r>
        <w:rPr>
          <w:rFonts w:eastAsia="Calibri" w:cs="Calibri" w:ascii="Calibri" w:hAnsi="Calibri"/>
        </w:rPr>
        <w:t>issn</w:t>
      </w:r>
      <w:r>
        <w:rPr/>
        <w:t xml:space="preserve">: 1573-5117. </w:t>
      </w:r>
      <w:r>
        <w:rPr>
          <w:rFonts w:eastAsia="Calibri" w:cs="Calibri" w:ascii="Calibri" w:hAnsi="Calibri"/>
        </w:rPr>
        <w:t>doi</w:t>
      </w:r>
      <w:r>
        <w:rPr/>
        <w:t xml:space="preserve">: </w:t>
      </w:r>
      <w:hyperlink r:id="rId136">
        <w:r>
          <w:rPr>
            <w:rStyle w:val="ListLabel12"/>
            <w:rFonts w:eastAsia="Calibri" w:cs="Calibri" w:ascii="Calibri" w:hAnsi="Calibri"/>
          </w:rPr>
          <w:t>10.1007/s10750</w:t>
        </w:r>
      </w:hyperlink>
      <w:hyperlink r:id="rId137">
        <w:r>
          <w:rPr>
            <w:rStyle w:val="ListLabel12"/>
            <w:rFonts w:eastAsia="Calibri" w:cs="Calibri" w:ascii="Calibri" w:hAnsi="Calibri"/>
          </w:rPr>
          <w:t>017-3455-1</w:t>
        </w:r>
      </w:hyperlink>
      <w:hyperlink r:id="rId138">
        <w:r>
          <w:rPr>
            <w:rStyle w:val="ListLabel13"/>
          </w:rPr>
          <w:t>.</w:t>
        </w:r>
      </w:hyperlink>
      <w:r>
        <w:rPr/>
        <w:t xml:space="preserve"> [Online]. Available: </w:t>
      </w:r>
      <w:hyperlink r:id="rId139">
        <w:r>
          <w:rPr>
            <w:rStyle w:val="ListLabel12"/>
            <w:rFonts w:eastAsia="Calibri" w:cs="Calibri" w:ascii="Calibri" w:hAnsi="Calibri"/>
          </w:rPr>
          <w:t>https://doi.org/10.1007/s10750-017-3455-1</w:t>
        </w:r>
      </w:hyperlink>
      <w:hyperlink r:id="rId140">
        <w:r>
          <w:rPr>
            <w:rStyle w:val="ListLabel13"/>
          </w:rPr>
          <w:t>.</w:t>
        </w:r>
      </w:hyperlink>
      <w:r>
        <w:br w:type="page"/>
      </w:r>
    </w:p>
    <w:p>
      <w:pPr>
        <w:pStyle w:val="Berschrift1"/>
        <w:ind w:left="-5" w:right="299" w:hanging="10"/>
        <w:rPr/>
      </w:pPr>
      <w:r>
        <w:rPr/>
        <w:t>Supporting Information</w:t>
      </w:r>
    </w:p>
    <w:p>
      <w:pPr>
        <w:pStyle w:val="Berschrift2"/>
        <w:ind w:left="-5" w:right="299" w:hanging="10"/>
        <w:rPr/>
      </w:pPr>
      <w:r>
        <w:rPr/>
        <w:t>Comparison of the trait aggregation methods with each other</w:t>
      </w:r>
    </w:p>
    <w:p>
      <w:pPr>
        <w:pStyle w:val="Normal"/>
        <w:spacing w:lineRule="auto" w:line="259" w:before="0" w:after="539"/>
        <w:ind w:left="0" w:right="-488" w:hanging="0"/>
        <w:jc w:val="left"/>
        <w:rPr/>
      </w:pPr>
      <w:r>
        <w:rPr/>
        <w:drawing>
          <wp:inline distT="0" distB="0" distL="0" distR="0">
            <wp:extent cx="5939790" cy="3599815"/>
            <wp:effectExtent l="0" t="0" r="0" b="0"/>
            <wp:docPr id="11" name="Picture 2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85" descr=""/>
                    <pic:cNvPicPr>
                      <a:picLocks noChangeAspect="1" noChangeArrowheads="1"/>
                    </pic:cNvPicPr>
                  </pic:nvPicPr>
                  <pic:blipFill>
                    <a:blip r:embed="rId141"/>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1: Comparison of trait aggregation methods when aggregating over all traits for all datasets. Displayed are means of absolute differences in trait affinities with standard deviations (truncated at 0). Compared aggregation methods are displayed on the y-axis. N indicates the number of cases where differences occurred. Total number of cases: Australia 2223, Europe 3352, New Zealand 777, and North America 4080.</w:t>
      </w:r>
    </w:p>
    <w:p>
      <w:pPr>
        <w:pStyle w:val="Normal"/>
        <w:spacing w:lineRule="auto" w:line="247" w:before="0" w:after="76"/>
        <w:ind w:left="-5" w:right="0" w:hanging="10"/>
        <w:jc w:val="left"/>
        <w:rPr/>
      </w:pPr>
      <w:r>
        <w:rPr>
          <w:b/>
          <w:sz w:val="24"/>
        </w:rPr>
        <w:t>Re-analysis of Sz¨ocs et al. using harmonized grouping features.</w:t>
      </w:r>
    </w:p>
    <w:p>
      <w:pPr>
        <w:pStyle w:val="Normal"/>
        <w:spacing w:lineRule="auto" w:line="259" w:before="0" w:after="539"/>
        <w:ind w:left="0" w:right="-488" w:hanging="0"/>
        <w:jc w:val="left"/>
        <w:rPr/>
      </w:pPr>
      <w:r>
        <w:rPr/>
        <w:drawing>
          <wp:inline distT="0" distB="0" distL="0" distR="0">
            <wp:extent cx="5939790" cy="3599815"/>
            <wp:effectExtent l="0" t="0" r="0" b="0"/>
            <wp:docPr id="12" name="Picture 2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96" descr=""/>
                    <pic:cNvPicPr>
                      <a:picLocks noChangeAspect="1" noChangeArrowheads="1"/>
                    </pic:cNvPicPr>
                  </pic:nvPicPr>
                  <pic:blipFill>
                    <a:blip r:embed="rId142"/>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2: RDA of traits constrained by electric conductivity using harmonized grouping features. Boxplot of site scores along the conductivity axis (31</w:t>
      </w:r>
      <w:r>
        <w:rPr>
          <w:i/>
        </w:rPr>
        <w:t>.</w:t>
      </w:r>
      <w:r>
        <w:rPr/>
        <w:t>44% explained variance, p = 0.001, 1000 permutations). Rug on the left indicates trait scores on the conductivity axis. Only traits with a mahalanobis distance greater than 5.02 were labeled in accordance to the procedure in Sz¨ocs et al. 2014.</w:t>
      </w:r>
    </w:p>
    <w:p>
      <w:pPr>
        <w:pStyle w:val="Normal"/>
        <w:spacing w:lineRule="auto" w:line="259" w:before="0" w:after="539"/>
        <w:ind w:left="0" w:right="-488" w:hanging="0"/>
        <w:jc w:val="left"/>
        <w:rPr/>
      </w:pPr>
      <w:r>
        <w:rPr/>
        <w:drawing>
          <wp:inline distT="0" distB="0" distL="0" distR="0">
            <wp:extent cx="5939790" cy="3599815"/>
            <wp:effectExtent l="0" t="0" r="0" b="0"/>
            <wp:docPr id="13" name="Picture 2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11" descr=""/>
                    <pic:cNvPicPr>
                      <a:picLocks noChangeAspect="1" noChangeArrowheads="1"/>
                    </pic:cNvPicPr>
                  </pic:nvPicPr>
                  <pic:blipFill>
                    <a:blip r:embed="rId143"/>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3: RDA of traits constrained by electric conductivity. Boxplot of site scores along the conductivity axis (30</w:t>
      </w:r>
      <w:r>
        <w:rPr>
          <w:i/>
        </w:rPr>
        <w:t>.</w:t>
      </w:r>
      <w:r>
        <w:rPr/>
        <w:t>09% explained variance, p = 0.001, 1000 permutations). Rug on the left indicates trait scores on the conductivity axis. Only traits with a mahalanobis distance greater than 5.02 were labeled.</w:t>
      </w:r>
    </w:p>
    <w:p>
      <w:pPr>
        <w:pStyle w:val="Berschrift1"/>
        <w:ind w:left="-5" w:right="299" w:hanging="10"/>
        <w:rPr/>
      </w:pPr>
      <w:r>
        <w:rPr/>
        <w:t>Trait distribution along first RDA axis</w:t>
      </w:r>
    </w:p>
    <w:p>
      <w:pPr>
        <w:pStyle w:val="Normal"/>
        <w:spacing w:lineRule="auto" w:line="259" w:before="0" w:after="539"/>
        <w:ind w:left="0" w:right="-1055" w:hanging="0"/>
        <w:jc w:val="left"/>
        <w:rPr/>
      </w:pPr>
      <w:r>
        <w:rPr/>
        <w:drawing>
          <wp:inline distT="0" distB="0" distL="0" distR="0">
            <wp:extent cx="6299835" cy="3599815"/>
            <wp:effectExtent l="0" t="0" r="0" b="0"/>
            <wp:docPr id="14" name="Picture 2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25" descr=""/>
                    <pic:cNvPicPr>
                      <a:picLocks noChangeAspect="1" noChangeArrowheads="1"/>
                    </pic:cNvPicPr>
                  </pic:nvPicPr>
                  <pic:blipFill>
                    <a:blip r:embed="rId144"/>
                    <a:stretch>
                      <a:fillRect/>
                    </a:stretch>
                  </pic:blipFill>
                  <pic:spPr bwMode="auto">
                    <a:xfrm>
                      <a:off x="0" y="0"/>
                      <a:ext cx="6299835" cy="3599815"/>
                    </a:xfrm>
                    <a:prstGeom prst="rect">
                      <a:avLst/>
                    </a:prstGeom>
                  </pic:spPr>
                </pic:pic>
              </a:graphicData>
            </a:graphic>
          </wp:inline>
        </w:drawing>
      </w:r>
    </w:p>
    <w:p>
      <w:pPr>
        <w:pStyle w:val="Normal"/>
        <w:ind w:left="-5" w:right="284" w:hanging="10"/>
        <w:rPr/>
      </w:pPr>
      <w:r>
        <w:rPr/>
        <w:t xml:space="preserve">Figure 4: Trait scores on the first RDA axis for harmonized traits and traits of the grouping feature </w:t>
      </w:r>
      <w:r>
        <w:rPr>
          <w:i/>
        </w:rPr>
        <w:t>life cycle duration</w:t>
      </w:r>
      <w:r>
        <w:rPr/>
        <w:t>.</w:t>
      </w:r>
    </w:p>
    <w:p>
      <w:pPr>
        <w:pStyle w:val="Normal"/>
        <w:spacing w:lineRule="auto" w:line="259" w:before="0" w:after="539"/>
        <w:ind w:left="0" w:right="-1055" w:hanging="0"/>
        <w:jc w:val="left"/>
        <w:rPr/>
      </w:pPr>
      <w:r>
        <w:rPr/>
        <w:drawing>
          <wp:inline distT="0" distB="0" distL="0" distR="0">
            <wp:extent cx="6299835" cy="3600450"/>
            <wp:effectExtent l="0" t="0" r="0" b="0"/>
            <wp:docPr id="15" name="Picture 2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33" descr=""/>
                    <pic:cNvPicPr>
                      <a:picLocks noChangeAspect="1" noChangeArrowheads="1"/>
                    </pic:cNvPicPr>
                  </pic:nvPicPr>
                  <pic:blipFill>
                    <a:blip r:embed="rId145"/>
                    <a:stretch>
                      <a:fillRect/>
                    </a:stretch>
                  </pic:blipFill>
                  <pic:spPr bwMode="auto">
                    <a:xfrm>
                      <a:off x="0" y="0"/>
                      <a:ext cx="6299835" cy="3600450"/>
                    </a:xfrm>
                    <a:prstGeom prst="rect">
                      <a:avLst/>
                    </a:prstGeom>
                  </pic:spPr>
                </pic:pic>
              </a:graphicData>
            </a:graphic>
          </wp:inline>
        </w:drawing>
      </w:r>
    </w:p>
    <w:p>
      <w:pPr>
        <w:pStyle w:val="Normal"/>
        <w:ind w:left="-5" w:right="284" w:hanging="10"/>
        <w:rPr/>
      </w:pPr>
      <w:r>
        <w:rPr/>
        <w:t>Figure 5: Trait scores on the first RDA axis for the traits responding to high salinity in Sz¨ocs et al. 2014 .</w:t>
      </w:r>
    </w:p>
    <w:p>
      <w:pPr>
        <w:pStyle w:val="Normal"/>
        <w:ind w:left="-5" w:right="284" w:hanging="10"/>
        <w:rPr/>
      </w:pPr>
      <w:r>
        <w:rPr/>
      </w:r>
    </w:p>
    <w:p>
      <w:pPr>
        <w:pStyle w:val="Normal"/>
        <w:ind w:left="-15" w:right="284" w:hanging="0"/>
        <w:rPr/>
      </w:pPr>
      <w:r>
        <w:rPr/>
      </w:r>
    </w:p>
    <w:p>
      <w:pPr>
        <w:pStyle w:val="Berschrift1"/>
        <w:ind w:left="-5" w:right="299" w:hanging="10"/>
        <w:rPr/>
      </w:pPr>
      <w:r>
        <w:rPr/>
        <w:t>Linear models of trait proportions</w:t>
      </w:r>
    </w:p>
    <w:p>
      <w:pPr>
        <w:pStyle w:val="Normal"/>
        <w:spacing w:lineRule="auto" w:line="264" w:before="0" w:after="381"/>
        <w:ind w:left="-5" w:right="0" w:hanging="10"/>
        <w:jc w:val="left"/>
        <w:rPr/>
      </w:pPr>
      <w:r>
        <w:rPr>
          <w:i/>
        </w:rPr>
        <w:t>Linear models of trait proportions with harmonized traits:</w:t>
      </w:r>
    </w:p>
    <w:p>
      <w:pPr>
        <w:pStyle w:val="Normal"/>
        <w:ind w:left="-5" w:right="284" w:hanging="10"/>
        <w:rPr/>
      </w:pPr>
      <w:r>
        <w:rPr/>
        <w:t xml:space="preserve">Table 1: Results of linear models for the four selected harmonized traits and life cycle duration </w:t>
      </w:r>
      <w:r>
        <w:rPr>
          <w:i/>
        </w:rPr>
        <w:t xml:space="preserve">&gt; </w:t>
      </w:r>
      <w:r>
        <w:rPr/>
        <w:t xml:space="preserve">1 year. Trait proportions were logit transformed prior model building, estimates are on the logit scale. Although years were statistically not significant we kept this factor in the model to avoid temporal autocorrelation. Bold values indicate statistically significant effects (p </w:t>
      </w:r>
      <w:r>
        <w:rPr>
          <w:i/>
        </w:rPr>
        <w:t xml:space="preserve">&lt; </w:t>
      </w:r>
      <w:r>
        <w:rPr/>
        <w:t>0.05).</w:t>
      </w:r>
    </w:p>
    <w:tbl>
      <w:tblPr>
        <w:tblStyle w:val="TableGrid"/>
        <w:tblW w:w="7966" w:type="dxa"/>
        <w:jc w:val="left"/>
        <w:tblInd w:w="2270" w:type="dxa"/>
        <w:tblBorders>
          <w:top w:val="single" w:sz="8" w:space="0" w:color="000000"/>
          <w:bottom w:val="single" w:sz="8" w:space="0" w:color="000000"/>
          <w:insideH w:val="single" w:sz="8" w:space="0" w:color="000000"/>
        </w:tblBorders>
        <w:tblCellMar>
          <w:top w:w="95" w:type="dxa"/>
          <w:left w:w="0" w:type="dxa"/>
          <w:bottom w:w="0" w:type="dxa"/>
          <w:right w:w="113" w:type="dxa"/>
        </w:tblCellMar>
        <w:tblLook w:noVBand="1" w:val="04a0" w:noHBand="0" w:lastColumn="0" w:firstColumn="1" w:lastRow="0" w:firstRow="1"/>
      </w:tblPr>
      <w:tblGrid>
        <w:gridCol w:w="1603"/>
        <w:gridCol w:w="1913"/>
        <w:gridCol w:w="1817"/>
        <w:gridCol w:w="1464"/>
        <w:gridCol w:w="1169"/>
      </w:tblGrid>
      <w:tr>
        <w:trPr>
          <w:trHeight w:val="554" w:hRule="atLeast"/>
        </w:trPr>
        <w:tc>
          <w:tcPr>
            <w:tcW w:w="160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375" w:right="0" w:hanging="258"/>
              <w:jc w:val="left"/>
              <w:rPr/>
            </w:pPr>
            <w:r>
              <w:rPr/>
              <w:t>Feeding mode: shredder</w:t>
            </w:r>
          </w:p>
        </w:tc>
        <w:tc>
          <w:tcPr>
            <w:tcW w:w="1913"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Life cycle duration:</w:t>
            </w:r>
          </w:p>
          <w:p>
            <w:pPr>
              <w:pStyle w:val="Normal"/>
              <w:spacing w:lineRule="auto" w:line="259" w:before="0" w:after="0"/>
              <w:ind w:left="466" w:right="0" w:hanging="0"/>
              <w:jc w:val="left"/>
              <w:rPr/>
            </w:pPr>
            <w:r>
              <w:rPr>
                <w:i/>
              </w:rPr>
              <w:t xml:space="preserve">&gt; </w:t>
            </w:r>
            <w:r>
              <w:rPr/>
              <w:t>1 year</w:t>
            </w:r>
          </w:p>
        </w:tc>
        <w:tc>
          <w:tcPr>
            <w:tcW w:w="1817"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351" w:right="0" w:hanging="0"/>
              <w:jc w:val="left"/>
              <w:rPr/>
            </w:pPr>
            <w:r>
              <w:rPr/>
              <w:t>Voltinism:</w:t>
            </w:r>
          </w:p>
          <w:p>
            <w:pPr>
              <w:pStyle w:val="Normal"/>
              <w:spacing w:lineRule="auto" w:line="259" w:before="0" w:after="0"/>
              <w:ind w:left="0" w:right="0" w:hanging="0"/>
              <w:jc w:val="left"/>
              <w:rPr/>
            </w:pPr>
            <w:r>
              <w:rPr/>
              <w:t>bi- or multivoltine</w:t>
            </w:r>
          </w:p>
        </w:tc>
        <w:tc>
          <w:tcPr>
            <w:tcW w:w="1464"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4" w:right="0" w:hanging="54"/>
              <w:jc w:val="left"/>
              <w:rPr/>
            </w:pPr>
            <w:r>
              <w:rPr/>
              <w:t>Reproduction: ovoviviparity</w:t>
            </w:r>
          </w:p>
        </w:tc>
        <w:tc>
          <w:tcPr>
            <w:tcW w:w="1169"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p>
            <w:pPr>
              <w:pStyle w:val="Normal"/>
              <w:spacing w:lineRule="auto" w:line="259" w:before="0" w:after="0"/>
              <w:ind w:left="356" w:right="0" w:hanging="0"/>
              <w:jc w:val="left"/>
              <w:rPr/>
            </w:pPr>
            <w:r>
              <w:rPr/>
              <w:t>gills</w:t>
            </w:r>
          </w:p>
        </w:tc>
      </w:tr>
    </w:tbl>
    <w:p>
      <w:pPr>
        <w:pStyle w:val="Normal"/>
        <w:spacing w:lineRule="auto" w:line="259" w:before="0" w:after="779"/>
        <w:ind w:left="0" w:right="-1368" w:hanging="0"/>
        <w:jc w:val="left"/>
        <w:rPr/>
      </w:pPr>
      <w:r>
        <w:rPr/>
        <mc:AlternateContent>
          <mc:Choice Requires="wpg">
            <w:drawing>
              <wp:inline distT="0" distB="0" distL="0" distR="0" wp14:anchorId="265CF59D">
                <wp:extent cx="6501130" cy="1076960"/>
                <wp:effectExtent l="0" t="0" r="0" b="0"/>
                <wp:docPr id="16" name=""/>
                <a:graphic xmlns:a="http://schemas.openxmlformats.org/drawingml/2006/main">
                  <a:graphicData uri="http://schemas.microsoft.com/office/word/2010/wordprocessingGroup">
                    <wpg:wgp>
                      <wpg:cNvGrpSpPr/>
                      <wpg:grpSpPr>
                        <a:xfrm>
                          <a:off x="0" y="0"/>
                          <a:ext cx="6500520" cy="1076400"/>
                        </a:xfrm>
                      </wpg:grpSpPr>
                      <wps:wsp>
                        <wps:cNvSpPr/>
                        <wps:spPr>
                          <a:xfrm>
                            <a:off x="71640" y="17640"/>
                            <a:ext cx="172152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Intercept(=upstream)</w:t>
                              </w:r>
                            </w:p>
                          </w:txbxContent>
                        </wps:txbx>
                        <wps:bodyPr lIns="0" rIns="0" tIns="0" bIns="0">
                          <a:noAutofit/>
                        </wps:bodyPr>
                      </wps:wsp>
                      <wps:wsp>
                        <wps:cNvSpPr/>
                        <wps:spPr>
                          <a:xfrm>
                            <a:off x="1441440" y="0"/>
                            <a:ext cx="720" cy="14472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1727280" y="17640"/>
                            <a:ext cx="5036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-1.041</w:t>
                              </w:r>
                            </w:p>
                          </w:txbxContent>
                        </wps:txbx>
                        <wps:bodyPr lIns="0" rIns="0" tIns="0" bIns="0">
                          <a:noAutofit/>
                        </wps:bodyPr>
                      </wps:wsp>
                      <wps:wsp>
                        <wps:cNvSpPr/>
                        <wps:spPr>
                          <a:xfrm>
                            <a:off x="2806200" y="17640"/>
                            <a:ext cx="50436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-0.486</w:t>
                              </w:r>
                            </w:p>
                          </w:txbxContent>
                        </wps:txbx>
                        <wps:bodyPr lIns="0" rIns="0" tIns="0" bIns="0">
                          <a:noAutofit/>
                        </wps:bodyPr>
                      </wps:wsp>
                      <wps:wsp>
                        <wps:cNvSpPr/>
                        <wps:spPr>
                          <a:xfrm>
                            <a:off x="4005000" y="17640"/>
                            <a:ext cx="46548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0.375*</w:t>
                              </w:r>
                            </w:p>
                          </w:txbxContent>
                        </wps:txbx>
                        <wps:bodyPr lIns="0" rIns="0" tIns="0" bIns="0">
                          <a:noAutofit/>
                        </wps:bodyPr>
                      </wps:wsp>
                      <wps:wsp>
                        <wps:cNvSpPr/>
                        <wps:spPr>
                          <a:xfrm>
                            <a:off x="5033160" y="17640"/>
                            <a:ext cx="50364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-0.823</w:t>
                              </w:r>
                            </w:p>
                          </w:txbxContent>
                        </wps:txbx>
                        <wps:bodyPr lIns="0" rIns="0" tIns="0" bIns="0">
                          <a:noAutofit/>
                        </wps:bodyPr>
                      </wps:wsp>
                      <wps:wsp>
                        <wps:cNvSpPr/>
                        <wps:spPr>
                          <a:xfrm>
                            <a:off x="5951160" y="1764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0.092</w:t>
                              </w:r>
                            </w:p>
                          </w:txbxContent>
                        </wps:txbx>
                        <wps:bodyPr lIns="0" rIns="0" tIns="0" bIns="0">
                          <a:noAutofit/>
                        </wps:bodyPr>
                      </wps:wsp>
                      <wps:wsp>
                        <wps:cNvSpPr/>
                        <wps:spPr>
                          <a:xfrm>
                            <a:off x="71640" y="164520"/>
                            <a:ext cx="91836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w:t>
                              </w:r>
                            </w:p>
                          </w:txbxContent>
                        </wps:txbx>
                        <wps:bodyPr lIns="0" rIns="0" tIns="0" bIns="0">
                          <a:noAutofit/>
                        </wps:bodyPr>
                      </wps:wsp>
                      <wps:wsp>
                        <wps:cNvSpPr/>
                        <wps:spPr>
                          <a:xfrm>
                            <a:off x="1441440" y="146520"/>
                            <a:ext cx="720" cy="14616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4014360" y="164520"/>
                            <a:ext cx="4388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1.376</w:t>
                              </w:r>
                            </w:p>
                          </w:txbxContent>
                        </wps:txbx>
                        <wps:bodyPr lIns="0" rIns="0" tIns="0" bIns="0">
                          <a:noAutofit/>
                        </wps:bodyPr>
                      </wps:wsp>
                      <wps:wsp>
                        <wps:cNvSpPr/>
                        <wps:spPr>
                          <a:xfrm>
                            <a:off x="1751400" y="164520"/>
                            <a:ext cx="4388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0.926</w:t>
                              </w:r>
                            </w:p>
                          </w:txbxContent>
                        </wps:txbx>
                        <wps:bodyPr lIns="0" rIns="0" tIns="0" bIns="0">
                          <a:noAutofit/>
                        </wps:bodyPr>
                      </wps:wsp>
                      <wps:wsp>
                        <wps:cNvSpPr/>
                        <wps:spPr>
                          <a:xfrm>
                            <a:off x="2830320" y="164520"/>
                            <a:ext cx="43956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0.605</w:t>
                              </w:r>
                            </w:p>
                          </w:txbxContent>
                        </wps:txbx>
                        <wps:bodyPr lIns="0" rIns="0" tIns="0" bIns="0">
                          <a:noAutofit/>
                        </wps:bodyPr>
                      </wps:wsp>
                      <wps:wsp>
                        <wps:cNvSpPr/>
                        <wps:spPr>
                          <a:xfrm>
                            <a:off x="5057280" y="164520"/>
                            <a:ext cx="4388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1.684</w:t>
                              </w:r>
                            </w:p>
                          </w:txbxContent>
                        </wps:txbx>
                        <wps:bodyPr lIns="0" rIns="0" tIns="0" bIns="0">
                          <a:noAutofit/>
                        </wps:bodyPr>
                      </wps:wsp>
                      <wps:wsp>
                        <wps:cNvSpPr/>
                        <wps:spPr>
                          <a:xfrm>
                            <a:off x="5929560" y="164520"/>
                            <a:ext cx="4388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0.854</w:t>
                              </w:r>
                            </w:p>
                          </w:txbxContent>
                        </wps:txbx>
                        <wps:bodyPr lIns="0" rIns="0" tIns="0" bIns="0">
                          <a:noAutofit/>
                        </wps:bodyPr>
                      </wps:wsp>
                      <wps:wsp>
                        <wps:cNvSpPr/>
                        <wps:spPr>
                          <a:xfrm>
                            <a:off x="71640" y="312480"/>
                            <a:ext cx="145548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Downstreamx2008</w:t>
                              </w:r>
                            </w:p>
                          </w:txbxContent>
                        </wps:txbx>
                        <wps:bodyPr lIns="0" rIns="0" tIns="0" bIns="0">
                          <a:noAutofit/>
                        </wps:bodyPr>
                      </wps:wsp>
                      <wps:wsp>
                        <wps:cNvSpPr/>
                        <wps:spPr>
                          <a:xfrm>
                            <a:off x="1441440" y="294480"/>
                            <a:ext cx="720" cy="14544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s:wsp>
                        <wps:cNvSpPr/>
                        <wps:spPr>
                          <a:xfrm>
                            <a:off x="4015080" y="312480"/>
                            <a:ext cx="4374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-0.235</w:t>
                              </w:r>
                            </w:p>
                          </w:txbxContent>
                        </wps:txbx>
                        <wps:bodyPr lIns="0" rIns="0" tIns="0" bIns="0">
                          <a:noAutofit/>
                        </wps:bodyPr>
                      </wps:wsp>
                      <wps:wsp>
                        <wps:cNvSpPr/>
                        <wps:spPr>
                          <a:xfrm>
                            <a:off x="1752120" y="312480"/>
                            <a:ext cx="4374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-0.117</w:t>
                              </w:r>
                            </w:p>
                          </w:txbxContent>
                        </wps:txbx>
                        <wps:bodyPr lIns="0" rIns="0" tIns="0" bIns="0">
                          <a:noAutofit/>
                        </wps:bodyPr>
                      </wps:wsp>
                      <wps:wsp>
                        <wps:cNvSpPr/>
                        <wps:spPr>
                          <a:xfrm>
                            <a:off x="2851920" y="312480"/>
                            <a:ext cx="3816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0.106</w:t>
                              </w:r>
                            </w:p>
                          </w:txbxContent>
                        </wps:txbx>
                        <wps:bodyPr lIns="0" rIns="0" tIns="0" bIns="0">
                          <a:noAutofit/>
                        </wps:bodyPr>
                      </wps:wsp>
                      <wps:wsp>
                        <wps:cNvSpPr/>
                        <wps:spPr>
                          <a:xfrm>
                            <a:off x="5057640" y="312480"/>
                            <a:ext cx="4374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wps:txbx>
                        <wps:bodyPr lIns="0" rIns="0" tIns="0" bIns="0">
                          <a:noAutofit/>
                        </wps:bodyPr>
                      </wps:wsp>
                      <wps:wsp>
                        <wps:cNvSpPr/>
                        <wps:spPr>
                          <a:xfrm>
                            <a:off x="5930280" y="312480"/>
                            <a:ext cx="43740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-0.317</w:t>
                              </w:r>
                            </w:p>
                          </w:txbxContent>
                        </wps:txbx>
                        <wps:bodyPr lIns="0" rIns="0" tIns="0" bIns="0">
                          <a:noAutofit/>
                        </wps:bodyPr>
                      </wps:wsp>
                      <wps:wsp>
                        <wps:cNvSpPr/>
                        <wps:spPr>
                          <a:xfrm>
                            <a:off x="71640" y="459720"/>
                            <a:ext cx="145548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Downstreamx2009</w:t>
                              </w:r>
                            </w:p>
                          </w:txbxContent>
                        </wps:txbx>
                        <wps:bodyPr lIns="0" rIns="0" tIns="0" bIns="0">
                          <a:noAutofit/>
                        </wps:bodyPr>
                      </wps:wsp>
                      <wps:wsp>
                        <wps:cNvSpPr/>
                        <wps:spPr>
                          <a:xfrm>
                            <a:off x="1441440" y="442080"/>
                            <a:ext cx="720" cy="14472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1773000" y="45972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0.030</w:t>
                              </w:r>
                            </w:p>
                          </w:txbxContent>
                        </wps:txbx>
                        <wps:bodyPr lIns="0" rIns="0" tIns="0" bIns="0">
                          <a:noAutofit/>
                        </wps:bodyPr>
                      </wps:wsp>
                      <wps:wsp>
                        <wps:cNvSpPr/>
                        <wps:spPr>
                          <a:xfrm>
                            <a:off x="2830680" y="459720"/>
                            <a:ext cx="43812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-0.056</w:t>
                              </w:r>
                            </w:p>
                          </w:txbxContent>
                        </wps:txbx>
                        <wps:bodyPr lIns="0" rIns="0" tIns="0" bIns="0">
                          <a:noAutofit/>
                        </wps:bodyPr>
                      </wps:wsp>
                      <wps:wsp>
                        <wps:cNvSpPr/>
                        <wps:spPr>
                          <a:xfrm>
                            <a:off x="4035960" y="45972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0.001</w:t>
                              </w:r>
                            </w:p>
                          </w:txbxContent>
                        </wps:txbx>
                        <wps:bodyPr lIns="0" rIns="0" tIns="0" bIns="0">
                          <a:noAutofit/>
                        </wps:bodyPr>
                      </wps:wsp>
                      <wps:wsp>
                        <wps:cNvSpPr/>
                        <wps:spPr>
                          <a:xfrm>
                            <a:off x="5078880" y="45972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0.245</w:t>
                              </w:r>
                            </w:p>
                          </w:txbxContent>
                        </wps:txbx>
                        <wps:bodyPr lIns="0" rIns="0" tIns="0" bIns="0">
                          <a:noAutofit/>
                        </wps:bodyPr>
                      </wps:wsp>
                      <wps:wsp>
                        <wps:cNvSpPr/>
                        <wps:spPr>
                          <a:xfrm>
                            <a:off x="5951160" y="45972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0.180</w:t>
                              </w:r>
                            </w:p>
                          </w:txbxContent>
                        </wps:txbx>
                        <wps:bodyPr lIns="0" rIns="0" tIns="0" bIns="0">
                          <a:noAutofit/>
                        </wps:bodyPr>
                      </wps:wsp>
                      <wps:wsp>
                        <wps:cNvSpPr/>
                        <wps:spPr>
                          <a:xfrm>
                            <a:off x="71640" y="606600"/>
                            <a:ext cx="72756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Year2008</w:t>
                              </w:r>
                            </w:p>
                          </w:txbxContent>
                        </wps:txbx>
                        <wps:bodyPr lIns="0" rIns="0" tIns="0" bIns="0">
                          <a:noAutofit/>
                        </wps:bodyPr>
                      </wps:wsp>
                      <wps:wsp>
                        <wps:cNvSpPr/>
                        <wps:spPr>
                          <a:xfrm>
                            <a:off x="1441440" y="588600"/>
                            <a:ext cx="720" cy="14472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2830680" y="606600"/>
                            <a:ext cx="43812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-0.115</w:t>
                              </w:r>
                            </w:p>
                          </w:txbxContent>
                        </wps:txbx>
                        <wps:bodyPr lIns="0" rIns="0" tIns="0" bIns="0">
                          <a:noAutofit/>
                        </wps:bodyPr>
                      </wps:wsp>
                      <wps:wsp>
                        <wps:cNvSpPr/>
                        <wps:spPr>
                          <a:xfrm>
                            <a:off x="4035960" y="606600"/>
                            <a:ext cx="3816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0.033</w:t>
                              </w:r>
                            </w:p>
                          </w:txbxContent>
                        </wps:txbx>
                        <wps:bodyPr lIns="0" rIns="0" tIns="0" bIns="0">
                          <a:noAutofit/>
                        </wps:bodyPr>
                      </wps:wsp>
                      <wps:wsp>
                        <wps:cNvSpPr/>
                        <wps:spPr>
                          <a:xfrm>
                            <a:off x="5057640" y="606600"/>
                            <a:ext cx="4374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-0.182</w:t>
                              </w:r>
                            </w:p>
                          </w:txbxContent>
                        </wps:txbx>
                        <wps:bodyPr lIns="0" rIns="0" tIns="0" bIns="0">
                          <a:noAutofit/>
                        </wps:bodyPr>
                      </wps:wsp>
                      <wps:wsp>
                        <wps:cNvSpPr/>
                        <wps:spPr>
                          <a:xfrm>
                            <a:off x="5930280" y="606600"/>
                            <a:ext cx="4374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-0.151</w:t>
                              </w:r>
                            </w:p>
                          </w:txbxContent>
                        </wps:txbx>
                        <wps:bodyPr lIns="0" rIns="0" tIns="0" bIns="0">
                          <a:noAutofit/>
                        </wps:bodyPr>
                      </wps:wsp>
                      <wps:wsp>
                        <wps:cNvSpPr/>
                        <wps:spPr>
                          <a:xfrm>
                            <a:off x="1752120" y="606600"/>
                            <a:ext cx="43740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-0.167</w:t>
                              </w:r>
                            </w:p>
                          </w:txbxContent>
                        </wps:txbx>
                        <wps:bodyPr lIns="0" rIns="0" tIns="0" bIns="0">
                          <a:noAutofit/>
                        </wps:bodyPr>
                      </wps:wsp>
                      <wps:wsp>
                        <wps:cNvSpPr/>
                        <wps:spPr>
                          <a:xfrm>
                            <a:off x="71640" y="753840"/>
                            <a:ext cx="72756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Year2009</w:t>
                              </w:r>
                            </w:p>
                          </w:txbxContent>
                        </wps:txbx>
                        <wps:bodyPr lIns="0" rIns="0" tIns="0" bIns="0">
                          <a:noAutofit/>
                        </wps:bodyPr>
                      </wps:wsp>
                      <wps:wsp>
                        <wps:cNvSpPr/>
                        <wps:spPr>
                          <a:xfrm>
                            <a:off x="1441440" y="735840"/>
                            <a:ext cx="720" cy="14616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1773000" y="753840"/>
                            <a:ext cx="3816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0.175</w:t>
                              </w:r>
                            </w:p>
                          </w:txbxContent>
                        </wps:txbx>
                        <wps:bodyPr lIns="0" rIns="0" tIns="0" bIns="0">
                          <a:noAutofit/>
                        </wps:bodyPr>
                      </wps:wsp>
                      <wps:wsp>
                        <wps:cNvSpPr/>
                        <wps:spPr>
                          <a:xfrm>
                            <a:off x="2851920" y="753840"/>
                            <a:ext cx="3816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0.086</w:t>
                              </w:r>
                            </w:p>
                          </w:txbxContent>
                        </wps:txbx>
                        <wps:bodyPr lIns="0" rIns="0" tIns="0" bIns="0">
                          <a:noAutofit/>
                        </wps:bodyPr>
                      </wps:wsp>
                      <wps:wsp>
                        <wps:cNvSpPr/>
                        <wps:spPr>
                          <a:xfrm>
                            <a:off x="4015080" y="753840"/>
                            <a:ext cx="4374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wps:txbx>
                        <wps:bodyPr lIns="0" rIns="0" tIns="0" bIns="0">
                          <a:noAutofit/>
                        </wps:bodyPr>
                      </wps:wsp>
                      <wps:wsp>
                        <wps:cNvSpPr/>
                        <wps:spPr>
                          <a:xfrm>
                            <a:off x="5951160" y="753840"/>
                            <a:ext cx="3816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0.141</w:t>
                              </w:r>
                            </w:p>
                          </w:txbxContent>
                        </wps:txbx>
                        <wps:bodyPr lIns="0" rIns="0" tIns="0" bIns="0">
                          <a:noAutofit/>
                        </wps:bodyPr>
                      </wps:wsp>
                      <wps:wsp>
                        <wps:cNvSpPr/>
                        <wps:spPr>
                          <a:xfrm>
                            <a:off x="5078880" y="753840"/>
                            <a:ext cx="38160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0.246</w:t>
                              </w:r>
                            </w:p>
                          </w:txbxContent>
                        </wps:txbx>
                        <wps:bodyPr lIns="0" rIns="0" tIns="0" bIns="0">
                          <a:noAutofit/>
                        </wps:bodyPr>
                      </wps:wsp>
                      <wps:wsp>
                        <wps:cNvSpPr/>
                        <wps:spPr>
                          <a:xfrm>
                            <a:off x="0" y="910080"/>
                            <a:ext cx="6500520" cy="720"/>
                          </a:xfrm>
                          <a:custGeom>
                            <a:avLst/>
                            <a:gdLst/>
                            <a:ahLst/>
                            <a:rect l="l" t="t" r="r" b="b"/>
                            <a:pathLst>
                              <a:path w="6499454" h="0">
                                <a:moveTo>
                                  <a:pt x="0" y="0"/>
                                </a:moveTo>
                                <a:lnTo>
                                  <a:pt x="6499454" y="0"/>
                                </a:lnTo>
                              </a:path>
                            </a:pathLst>
                          </a:custGeom>
                          <a:noFill/>
                          <a:ln w="10080">
                            <a:solidFill>
                              <a:srgbClr val="ffffff"/>
                            </a:solidFill>
                          </a:ln>
                        </wps:spPr>
                        <wps:style>
                          <a:lnRef idx="1"/>
                          <a:fillRef idx="0"/>
                          <a:effectRef idx="0"/>
                          <a:fontRef idx="minor"/>
                        </wps:style>
                        <wps:bodyPr/>
                      </wps:wsp>
                      <wps:wsp>
                        <wps:cNvSpPr/>
                        <wps:spPr>
                          <a:xfrm>
                            <a:off x="2223000" y="934200"/>
                            <a:ext cx="1301760" cy="142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*p.value=0.055</w:t>
                              </w:r>
                            </w:p>
                          </w:txbxContent>
                        </wps:txbx>
                        <wps:bodyPr lIns="0" rIns="0" tIns="0" bIns="0">
                          <a:noAutofit/>
                        </wps:bodyPr>
                      </wps:wsp>
                    </wpg:wgp>
                  </a:graphicData>
                </a:graphic>
              </wp:inline>
            </w:drawing>
          </mc:Choice>
          <mc:Fallback>
            <w:pict>
              <v:group id="shape_0" style="position:absolute;margin-left:0pt;margin-top:-84.8pt;width:511.85pt;height:84.75pt" coordorigin="0,-1696" coordsize="10237,1695">
                <v:rect id="shape_0" stroked="f" style="position:absolute;left:113;top:-1668;width:271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Intercept(=upstream)</w:t>
                        </w:r>
                      </w:p>
                    </w:txbxContent>
                  </v:textbox>
                  <w10:wrap type="square"/>
                  <v:fill o:detectmouseclick="t" on="false"/>
                  <v:stroke color="#3465a4" joinstyle="round" endcap="flat"/>
                </v:rect>
                <v:rect id="shape_0" stroked="f" style="position:absolute;left:2720;top:-1668;width:792;height:223;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-1.041</w:t>
                        </w:r>
                      </w:p>
                    </w:txbxContent>
                  </v:textbox>
                  <w10:wrap type="square"/>
                  <v:fill o:detectmouseclick="t" on="false"/>
                  <v:stroke color="#3465a4" joinstyle="round" endcap="flat"/>
                </v:rect>
                <v:rect id="shape_0" stroked="f" style="position:absolute;left:4419;top:-1668;width:793;height:223;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-0.486</w:t>
                        </w:r>
                      </w:p>
                    </w:txbxContent>
                  </v:textbox>
                  <w10:wrap type="square"/>
                  <v:fill o:detectmouseclick="t" on="false"/>
                  <v:stroke color="#3465a4" joinstyle="round" endcap="flat"/>
                </v:rect>
                <v:rect id="shape_0" stroked="f" style="position:absolute;left:6307;top:-1668;width:732;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0.375*</w:t>
                        </w:r>
                      </w:p>
                    </w:txbxContent>
                  </v:textbox>
                  <w10:wrap type="square"/>
                  <v:fill o:detectmouseclick="t" on="false"/>
                  <v:stroke color="#3465a4" joinstyle="round" endcap="flat"/>
                </v:rect>
                <v:rect id="shape_0" stroked="f" style="position:absolute;left:7926;top:-1668;width:792;height:223;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-0.823</w:t>
                        </w:r>
                      </w:p>
                    </w:txbxContent>
                  </v:textbox>
                  <w10:wrap type="square"/>
                  <v:fill o:detectmouseclick="t" on="false"/>
                  <v:stroke color="#3465a4" joinstyle="round" endcap="flat"/>
                </v:rect>
                <v:rect id="shape_0" stroked="f" style="position:absolute;left:9372;top:-1668;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0.092</w:t>
                        </w:r>
                      </w:p>
                    </w:txbxContent>
                  </v:textbox>
                  <w10:wrap type="square"/>
                  <v:fill o:detectmouseclick="t" on="false"/>
                  <v:stroke color="#3465a4" joinstyle="round" endcap="flat"/>
                </v:rect>
                <v:rect id="shape_0" stroked="f" style="position:absolute;left:113;top:-1437;width:1445;height:226;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w:t>
                        </w:r>
                      </w:p>
                    </w:txbxContent>
                  </v:textbox>
                  <w10:wrap type="square"/>
                  <v:fill o:detectmouseclick="t" on="false"/>
                  <v:stroke color="#3465a4" joinstyle="round" endcap="flat"/>
                </v:rect>
                <v:rect id="shape_0" stroked="f" style="position:absolute;left:6322;top:-1437;width:690;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1.376</w:t>
                        </w:r>
                      </w:p>
                    </w:txbxContent>
                  </v:textbox>
                  <w10:wrap type="square"/>
                  <v:fill o:detectmouseclick="t" on="false"/>
                  <v:stroke color="#3465a4" joinstyle="round" endcap="flat"/>
                </v:rect>
                <v:rect id="shape_0" stroked="f" style="position:absolute;left:2758;top:-1437;width:690;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0.926</w:t>
                        </w:r>
                      </w:p>
                    </w:txbxContent>
                  </v:textbox>
                  <w10:wrap type="square"/>
                  <v:fill o:detectmouseclick="t" on="false"/>
                  <v:stroke color="#3465a4" joinstyle="round" endcap="flat"/>
                </v:rect>
                <v:rect id="shape_0" stroked="f" style="position:absolute;left:4457;top:-1437;width:691;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0.605</w:t>
                        </w:r>
                      </w:p>
                    </w:txbxContent>
                  </v:textbox>
                  <w10:wrap type="square"/>
                  <v:fill o:detectmouseclick="t" on="false"/>
                  <v:stroke color="#3465a4" joinstyle="round" endcap="flat"/>
                </v:rect>
                <v:rect id="shape_0" stroked="f" style="position:absolute;left:7964;top:-1437;width:690;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1.684</w:t>
                        </w:r>
                      </w:p>
                    </w:txbxContent>
                  </v:textbox>
                  <w10:wrap type="square"/>
                  <v:fill o:detectmouseclick="t" on="false"/>
                  <v:stroke color="#3465a4" joinstyle="round" endcap="flat"/>
                </v:rect>
                <v:rect id="shape_0" stroked="f" style="position:absolute;left:9338;top:-1437;width:690;height:226;mso-position-vertical:top">
                  <v:textbox>
                    <w:txbxContent>
                      <w:p>
                        <w:pPr>
                          <w:overflowPunct w:val="false"/>
                          <w:spacing w:before="0" w:after="160" w:lineRule="auto" w:line="252"/>
                          <w:ind w:hanging="0"/>
                          <w:jc w:val="left"/>
                          <w:rPr/>
                        </w:pPr>
                        <w:r>
                          <w:rPr>
                            <w:sz w:val="20"/>
                            <w:b/>
                            <w:u w:val="none"/>
                            <w:dstrike w:val="false"/>
                            <w:strike w:val="false"/>
                            <w:i w:val="false"/>
                            <w:vertAlign w:val="baseline"/>
                            <w:position w:val="0"/>
                            <w:spacing w:val="0"/>
                            <w:szCs w:val="20"/>
                            <w:bCs/>
                            <w:iCs w:val="false"/>
                            <w:smallCaps w:val="false"/>
                            <w:caps w:val="false"/>
                            <w:rFonts w:eastAsia="" w:cs="" w:cstheme="minorBidi" w:eastAsiaTheme="minorEastAsia" w:ascii="Calibri" w:hAnsi="Calibri"/>
                            <w:color w:val="00000A"/>
                          </w:rPr>
                          <w:t>0.854</w:t>
                        </w:r>
                      </w:p>
                    </w:txbxContent>
                  </v:textbox>
                  <w10:wrap type="square"/>
                  <v:fill o:detectmouseclick="t" on="false"/>
                  <v:stroke color="#3465a4" joinstyle="round" endcap="flat"/>
                </v:rect>
                <v:rect id="shape_0" stroked="f" style="position:absolute;left:113;top:-1204;width:2291;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Downstreamx2008</w:t>
                        </w:r>
                      </w:p>
                    </w:txbxContent>
                  </v:textbox>
                  <w10:wrap type="square"/>
                  <v:fill o:detectmouseclick="t" on="false"/>
                  <v:stroke color="#3465a4" joinstyle="round" endcap="flat"/>
                </v:rect>
                <v:rect id="shape_0" stroked="f" style="position:absolute;left:6323;top:-1204;width:688;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-0.235</w:t>
                        </w:r>
                      </w:p>
                    </w:txbxContent>
                  </v:textbox>
                  <w10:wrap type="square"/>
                  <v:fill o:detectmouseclick="t" on="false"/>
                  <v:stroke color="#3465a4" joinstyle="round" endcap="flat"/>
                </v:rect>
                <v:rect id="shape_0" stroked="f" style="position:absolute;left:2759;top:-1204;width:688;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-0.117</w:t>
                        </w:r>
                      </w:p>
                    </w:txbxContent>
                  </v:textbox>
                  <w10:wrap type="square"/>
                  <v:fill o:detectmouseclick="t" on="false"/>
                  <v:stroke color="#3465a4" joinstyle="round" endcap="flat"/>
                </v:rect>
                <v:rect id="shape_0" stroked="f" style="position:absolute;left:4491;top:-1204;width:600;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0.106</w:t>
                        </w:r>
                      </w:p>
                    </w:txbxContent>
                  </v:textbox>
                  <w10:wrap type="square"/>
                  <v:fill o:detectmouseclick="t" on="false"/>
                  <v:stroke color="#3465a4" joinstyle="round" endcap="flat"/>
                </v:rect>
                <v:rect id="shape_0" stroked="f" style="position:absolute;left:7965;top:-1204;width:688;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v:textbox>
                  <w10:wrap type="square"/>
                  <v:fill o:detectmouseclick="t" on="false"/>
                  <v:stroke color="#3465a4" joinstyle="round" endcap="flat"/>
                </v:rect>
                <v:rect id="shape_0" stroked="f" style="position:absolute;left:9339;top:-1204;width:688;height:224;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-0.317</w:t>
                        </w:r>
                      </w:p>
                    </w:txbxContent>
                  </v:textbox>
                  <w10:wrap type="square"/>
                  <v:fill o:detectmouseclick="t" on="false"/>
                  <v:stroke color="#3465a4" joinstyle="round" endcap="flat"/>
                </v:rect>
                <v:rect id="shape_0" stroked="f" style="position:absolute;left:113;top:-972;width:2291;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Downstreamx2009</w:t>
                        </w:r>
                      </w:p>
                    </w:txbxContent>
                  </v:textbox>
                  <w10:wrap type="square"/>
                  <v:fill o:detectmouseclick="t" on="false"/>
                  <v:stroke color="#3465a4" joinstyle="round" endcap="flat"/>
                </v:rect>
                <v:rect id="shape_0" stroked="f" style="position:absolute;left:2792;top:-972;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0.030</w:t>
                        </w:r>
                      </w:p>
                    </w:txbxContent>
                  </v:textbox>
                  <w10:wrap type="square"/>
                  <v:fill o:detectmouseclick="t" on="false"/>
                  <v:stroke color="#3465a4" joinstyle="round" endcap="flat"/>
                </v:rect>
                <v:rect id="shape_0" stroked="f" style="position:absolute;left:4458;top:-972;width:689;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-0.056</w:t>
                        </w:r>
                      </w:p>
                    </w:txbxContent>
                  </v:textbox>
                  <w10:wrap type="square"/>
                  <v:fill o:detectmouseclick="t" on="false"/>
                  <v:stroke color="#3465a4" joinstyle="round" endcap="flat"/>
                </v:rect>
                <v:rect id="shape_0" stroked="f" style="position:absolute;left:6356;top:-972;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0.001</w:t>
                        </w:r>
                      </w:p>
                    </w:txbxContent>
                  </v:textbox>
                  <w10:wrap type="square"/>
                  <v:fill o:detectmouseclick="t" on="false"/>
                  <v:stroke color="#3465a4" joinstyle="round" endcap="flat"/>
                </v:rect>
                <v:rect id="shape_0" stroked="f" style="position:absolute;left:7998;top:-972;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0.245</w:t>
                        </w:r>
                      </w:p>
                    </w:txbxContent>
                  </v:textbox>
                  <w10:wrap type="square"/>
                  <v:fill o:detectmouseclick="t" on="false"/>
                  <v:stroke color="#3465a4" joinstyle="round" endcap="flat"/>
                </v:rect>
                <v:rect id="shape_0" stroked="f" style="position:absolute;left:9372;top:-972;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0.180</w:t>
                        </w:r>
                      </w:p>
                    </w:txbxContent>
                  </v:textbox>
                  <w10:wrap type="square"/>
                  <v:fill o:detectmouseclick="t" on="false"/>
                  <v:stroke color="#3465a4" joinstyle="round" endcap="flat"/>
                </v:rect>
                <v:rect id="shape_0" stroked="f" style="position:absolute;left:113;top:-741;width:1145;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Year2008</w:t>
                        </w:r>
                      </w:p>
                    </w:txbxContent>
                  </v:textbox>
                  <w10:wrap type="square"/>
                  <v:fill o:detectmouseclick="t" on="false"/>
                  <v:stroke color="#3465a4" joinstyle="round" endcap="flat"/>
                </v:rect>
                <v:rect id="shape_0" stroked="f" style="position:absolute;left:4458;top:-741;width:689;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-0.115</w:t>
                        </w:r>
                      </w:p>
                    </w:txbxContent>
                  </v:textbox>
                  <w10:wrap type="square"/>
                  <v:fill o:detectmouseclick="t" on="false"/>
                  <v:stroke color="#3465a4" joinstyle="round" endcap="flat"/>
                </v:rect>
                <v:rect id="shape_0" stroked="f" style="position:absolute;left:6356;top:-741;width:600;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0.033</w:t>
                        </w:r>
                      </w:p>
                    </w:txbxContent>
                  </v:textbox>
                  <w10:wrap type="square"/>
                  <v:fill o:detectmouseclick="t" on="false"/>
                  <v:stroke color="#3465a4" joinstyle="round" endcap="flat"/>
                </v:rect>
                <v:rect id="shape_0" stroked="f" style="position:absolute;left:7965;top:-741;width:688;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-0.182</w:t>
                        </w:r>
                      </w:p>
                    </w:txbxContent>
                  </v:textbox>
                  <w10:wrap type="square"/>
                  <v:fill o:detectmouseclick="t" on="false"/>
                  <v:stroke color="#3465a4" joinstyle="round" endcap="flat"/>
                </v:rect>
                <v:rect id="shape_0" stroked="f" style="position:absolute;left:9339;top:-741;width:688;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-0.151</w:t>
                        </w:r>
                      </w:p>
                    </w:txbxContent>
                  </v:textbox>
                  <w10:wrap type="square"/>
                  <v:fill o:detectmouseclick="t" on="false"/>
                  <v:stroke color="#3465a4" joinstyle="round" endcap="flat"/>
                </v:rect>
                <v:rect id="shape_0" stroked="f" style="position:absolute;left:2759;top:-741;width:688;height:223;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-0.167</w:t>
                        </w:r>
                      </w:p>
                    </w:txbxContent>
                  </v:textbox>
                  <w10:wrap type="square"/>
                  <v:fill o:detectmouseclick="t" on="false"/>
                  <v:stroke color="#3465a4" joinstyle="round" endcap="flat"/>
                </v:rect>
                <v:rect id="shape_0" stroked="f" style="position:absolute;left:113;top:-509;width:1145;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Year2009</w:t>
                        </w:r>
                      </w:p>
                    </w:txbxContent>
                  </v:textbox>
                  <w10:wrap type="square"/>
                  <v:fill o:detectmouseclick="t" on="false"/>
                  <v:stroke color="#3465a4" joinstyle="round" endcap="flat"/>
                </v:rect>
                <v:rect id="shape_0" stroked="f" style="position:absolute;left:2792;top:-509;width:600;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0.175</w:t>
                        </w:r>
                      </w:p>
                    </w:txbxContent>
                  </v:textbox>
                  <w10:wrap type="square"/>
                  <v:fill o:detectmouseclick="t" on="false"/>
                  <v:stroke color="#3465a4" joinstyle="round" endcap="flat"/>
                </v:rect>
                <v:rect id="shape_0" stroked="f" style="position:absolute;left:4491;top:-509;width:600;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0.086</w:t>
                        </w:r>
                      </w:p>
                    </w:txbxContent>
                  </v:textbox>
                  <w10:wrap type="square"/>
                  <v:fill o:detectmouseclick="t" on="false"/>
                  <v:stroke color="#3465a4" joinstyle="round" endcap="flat"/>
                </v:rect>
                <v:rect id="shape_0" stroked="f" style="position:absolute;left:6323;top:-509;width:688;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-0.088</w:t>
                        </w:r>
                      </w:p>
                    </w:txbxContent>
                  </v:textbox>
                  <w10:wrap type="square"/>
                  <v:fill o:detectmouseclick="t" on="false"/>
                  <v:stroke color="#3465a4" joinstyle="round" endcap="flat"/>
                </v:rect>
                <v:rect id="shape_0" stroked="f" style="position:absolute;left:9372;top:-509;width:600;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0.141</w:t>
                        </w:r>
                      </w:p>
                    </w:txbxContent>
                  </v:textbox>
                  <w10:wrap type="square"/>
                  <v:fill o:detectmouseclick="t" on="false"/>
                  <v:stroke color="#3465a4" joinstyle="round" endcap="flat"/>
                </v:rect>
                <v:rect id="shape_0" stroked="f" style="position:absolute;left:7998;top:-509;width:600;height:225;mso-position-vertical:top">
                  <v:textbox>
                    <w:txbxContent>
                      <w:p>
                        <w:pPr>
                          <w:overflowPunct w:val="false"/>
                          <w:spacing w:before="0" w:after="160" w:lineRule="auto" w:line="252"/>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ascii="Calibri" w:hAnsi="Calibri"/>
                            <w:color w:val="00000A"/>
                          </w:rPr>
                          <w:t>0.246</w:t>
                        </w:r>
                      </w:p>
                    </w:txbxContent>
                  </v:textbox>
                  <w10:wrap type="square"/>
                  <v:fill o:detectmouseclick="t" on="false"/>
                  <v:stroke color="#3465a4" joinstyle="round" endcap="flat"/>
                </v:rect>
                <v:rect id="shape_0" stroked="f" style="position:absolute;left:3501;top:-225;width:2049;height:223;mso-position-vertical:top">
                  <v:textbox>
                    <w:txbxContent>
                      <w:p>
                        <w:pPr>
                          <w:overflowPunct w:val="false"/>
                          <w:spacing w:before="0" w:after="160" w:lineRule="auto" w:line="252"/>
                          <w:ind w:hanging="0"/>
                          <w:jc w:val="left"/>
                          <w:rPr/>
                        </w:pPr>
                        <w:r>
                          <w:rPr>
                            <w:sz w:val="20"/>
                            <w:b w:val="false"/>
                            <w:u w:val="none"/>
                            <w:dstrike w:val="false"/>
                            <w:strike w:val="false"/>
                            <w:i/>
                            <w:vertAlign w:val="baseline"/>
                            <w:position w:val="0"/>
                            <w:spacing w:val="0"/>
                            <w:szCs w:val="20"/>
                            <w:bCs w:val="false"/>
                            <w:iCs/>
                            <w:smallCaps w:val="false"/>
                            <w:caps w:val="false"/>
                            <w:rFonts w:eastAsia="" w:cs="" w:cstheme="minorBidi" w:eastAsiaTheme="minorEastAsia" w:ascii="Calibri" w:hAnsi="Calibri"/>
                            <w:color w:val="00000A"/>
                          </w:rPr>
                          <w:t>*p.value=0.055</w:t>
                        </w:r>
                      </w:p>
                    </w:txbxContent>
                  </v:textbox>
                  <w10:wrap type="square"/>
                  <v:fill o:detectmouseclick="t" on="false"/>
                  <v:stroke color="#3465a4" joinstyle="round" endcap="flat"/>
                </v:rect>
              </v:group>
            </w:pict>
          </mc:Fallback>
        </mc:AlternateContent>
      </w:r>
    </w:p>
    <w:p>
      <w:pPr>
        <w:pStyle w:val="Normal"/>
        <w:spacing w:lineRule="auto" w:line="264" w:before="0" w:after="356"/>
        <w:ind w:left="-5" w:right="0" w:hanging="10"/>
        <w:jc w:val="left"/>
        <w:rPr>
          <w:i/>
          <w:i/>
        </w:rPr>
      </w:pPr>
      <w:r>
        <w:rPr>
          <w:i/>
        </w:rPr>
      </w:r>
    </w:p>
    <w:p>
      <w:pPr>
        <w:pStyle w:val="Normal"/>
        <w:spacing w:lineRule="auto" w:line="264" w:before="0" w:after="356"/>
        <w:ind w:left="-5" w:right="0" w:hanging="10"/>
        <w:jc w:val="left"/>
        <w:rPr>
          <w:i/>
          <w:i/>
        </w:rPr>
      </w:pPr>
      <w:r>
        <w:rPr>
          <w:i/>
        </w:rPr>
      </w:r>
    </w:p>
    <w:p>
      <w:pPr>
        <w:pStyle w:val="Normal"/>
        <w:spacing w:lineRule="auto" w:line="264" w:before="0" w:after="356"/>
        <w:ind w:left="-5" w:right="0" w:hanging="10"/>
        <w:jc w:val="left"/>
        <w:rPr/>
      </w:pPr>
      <w:r>
        <w:rPr>
          <w:i/>
        </w:rPr>
        <w:t>Linear models of trait proportions Szöcs et al. 2014:</w:t>
      </w:r>
    </w:p>
    <w:p>
      <w:pPr>
        <w:pStyle w:val="Normal"/>
        <w:ind w:left="-5" w:right="284" w:hanging="10"/>
        <w:rPr/>
      </w:pPr>
      <w:r>
        <w:rPr/>
        <w:t xml:space="preserve">Table 2: Results of linear models for the five selected traits for Sz¨ocs et al. 2014. Trait proportions were logit transformed prior model building, estimates are on the logit scale. Although years were statistically not significant we kept this factor in the model to avoid temporal autocorrelation. Bold values indicate statistically significant effects (p </w:t>
      </w:r>
      <w:r>
        <w:rPr>
          <w:i/>
        </w:rPr>
        <w:t xml:space="preserve">&lt; </w:t>
      </w:r>
      <w:r>
        <w:rPr/>
        <w:t>0.05).</w:t>
      </w:r>
    </w:p>
    <w:tbl>
      <w:tblPr>
        <w:tblStyle w:val="TableGrid"/>
        <w:tblW w:w="10157" w:type="dxa"/>
        <w:jc w:val="left"/>
        <w:tblInd w:w="-48" w:type="dxa"/>
        <w:tblBorders/>
        <w:tblCellMar>
          <w:top w:w="95" w:type="dxa"/>
          <w:left w:w="0" w:type="dxa"/>
          <w:bottom w:w="0" w:type="dxa"/>
          <w:right w:w="113" w:type="dxa"/>
        </w:tblCellMar>
        <w:tblLook w:noVBand="1" w:val="04a0" w:noHBand="0" w:lastColumn="0" w:firstColumn="1" w:lastRow="0" w:firstRow="1"/>
      </w:tblPr>
      <w:tblGrid>
        <w:gridCol w:w="2102"/>
        <w:gridCol w:w="1695"/>
        <w:gridCol w:w="1709"/>
        <w:gridCol w:w="1520"/>
        <w:gridCol w:w="1533"/>
        <w:gridCol w:w="1219"/>
        <w:gridCol w:w="378"/>
      </w:tblGrid>
      <w:tr>
        <w:trPr>
          <w:trHeight w:val="554" w:hRule="atLeast"/>
        </w:trPr>
        <w:tc>
          <w:tcPr>
            <w:tcW w:w="2102" w:type="dxa"/>
            <w:tcBorders/>
            <w:shd w:fill="auto" w:val="clear"/>
          </w:tcPr>
          <w:p>
            <w:pPr>
              <w:pStyle w:val="Normal"/>
              <w:spacing w:lineRule="auto" w:line="240" w:before="0" w:after="0"/>
              <w:ind w:left="10" w:right="284" w:hanging="0"/>
              <w:rPr/>
            </w:pPr>
            <w:r>
              <w:rPr/>
            </w:r>
          </w:p>
        </w:tc>
        <w:tc>
          <w:tcPr>
            <w:tcW w:w="1695"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117" w:right="0" w:hanging="0"/>
              <w:jc w:val="left"/>
              <w:rPr/>
            </w:pPr>
            <w:r>
              <w:rPr/>
              <w:t>Feeding habits:</w:t>
            </w:r>
          </w:p>
          <w:p>
            <w:pPr>
              <w:pStyle w:val="Normal"/>
              <w:spacing w:lineRule="auto" w:line="259" w:before="0" w:after="0"/>
              <w:ind w:left="4" w:right="0" w:hanging="0"/>
              <w:jc w:val="center"/>
              <w:rPr/>
            </w:pPr>
            <w:r>
              <w:rPr/>
              <w:t>shredder</w:t>
            </w:r>
          </w:p>
        </w:tc>
        <w:tc>
          <w:tcPr>
            <w:tcW w:w="1709"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Life cycle duration:</w:t>
            </w:r>
          </w:p>
          <w:p>
            <w:pPr>
              <w:pStyle w:val="Normal"/>
              <w:spacing w:lineRule="auto" w:line="259" w:before="0" w:after="0"/>
              <w:ind w:left="466" w:right="0" w:hanging="0"/>
              <w:jc w:val="left"/>
              <w:rPr/>
            </w:pPr>
            <w:r>
              <w:rPr>
                <w:i/>
              </w:rPr>
              <w:t xml:space="preserve">&gt; </w:t>
            </w:r>
            <w:r>
              <w:rPr/>
              <w:t>1 year</w:t>
            </w:r>
          </w:p>
        </w:tc>
        <w:tc>
          <w:tcPr>
            <w:tcW w:w="1520" w:type="dxa"/>
            <w:tcBorders>
              <w:top w:val="single" w:sz="8" w:space="0" w:color="000000"/>
              <w:bottom w:val="single" w:sz="8" w:space="0" w:color="000000"/>
              <w:insideH w:val="single" w:sz="8" w:space="0" w:color="000000"/>
            </w:tcBorders>
            <w:shd w:fill="auto" w:val="clear"/>
          </w:tcPr>
          <w:p>
            <w:pPr>
              <w:pStyle w:val="Normal"/>
              <w:spacing w:lineRule="auto" w:line="259" w:before="0" w:after="9"/>
              <w:ind w:left="0" w:right="0" w:hanging="0"/>
              <w:jc w:val="left"/>
              <w:rPr/>
            </w:pPr>
            <w:r>
              <w:rPr/>
              <w:t>Cycles per year:</w:t>
            </w:r>
          </w:p>
          <w:p>
            <w:pPr>
              <w:pStyle w:val="Normal"/>
              <w:spacing w:lineRule="auto" w:line="259" w:before="0" w:after="0"/>
              <w:ind w:left="538" w:right="0" w:hanging="0"/>
              <w:jc w:val="left"/>
              <w:rPr/>
            </w:pPr>
            <w:r>
              <w:rPr>
                <w:i/>
              </w:rPr>
              <w:t xml:space="preserve">&gt; </w:t>
            </w:r>
            <w:r>
              <w:rPr/>
              <w:t>1</w:t>
            </w:r>
          </w:p>
        </w:tc>
        <w:tc>
          <w:tcPr>
            <w:tcW w:w="1533" w:type="dxa"/>
            <w:tcBorders>
              <w:top w:val="single" w:sz="8" w:space="0" w:color="000000"/>
              <w:bottom w:val="single" w:sz="8" w:space="0" w:color="000000"/>
              <w:insideH w:val="single" w:sz="8" w:space="0" w:color="000000"/>
            </w:tcBorders>
            <w:shd w:fill="auto" w:val="clear"/>
          </w:tcPr>
          <w:p>
            <w:pPr>
              <w:pStyle w:val="Normal"/>
              <w:spacing w:lineRule="auto" w:line="259" w:before="0" w:after="0"/>
              <w:ind w:left="54" w:right="0" w:hanging="54"/>
              <w:jc w:val="left"/>
              <w:rPr/>
            </w:pPr>
            <w:r>
              <w:rPr/>
              <w:t>Reproduction: ovoviviparity</w:t>
            </w:r>
          </w:p>
        </w:tc>
        <w:tc>
          <w:tcPr>
            <w:tcW w:w="1597" w:type="dxa"/>
            <w:gridSpan w:val="2"/>
            <w:tcBorders>
              <w:top w:val="single" w:sz="8" w:space="0" w:color="000000"/>
              <w:bottom w:val="single" w:sz="8" w:space="0" w:color="000000"/>
              <w:insideH w:val="single" w:sz="8" w:space="0" w:color="000000"/>
            </w:tcBorders>
            <w:shd w:fill="auto" w:val="clear"/>
          </w:tcPr>
          <w:p>
            <w:pPr>
              <w:pStyle w:val="Normal"/>
              <w:spacing w:lineRule="auto" w:line="259" w:before="0" w:after="0"/>
              <w:ind w:left="0" w:right="0" w:hanging="0"/>
              <w:jc w:val="left"/>
              <w:rPr/>
            </w:pPr>
            <w:r>
              <w:rPr/>
              <w:t>Respiration:</w:t>
            </w:r>
          </w:p>
          <w:p>
            <w:pPr>
              <w:pStyle w:val="Normal"/>
              <w:spacing w:lineRule="auto" w:line="259" w:before="0" w:after="0"/>
              <w:ind w:left="356" w:right="0" w:hanging="0"/>
              <w:jc w:val="left"/>
              <w:rPr/>
            </w:pPr>
            <w:r>
              <w:rPr/>
              <w:t>gills</w:t>
            </w:r>
          </w:p>
        </w:tc>
      </w:tr>
      <w:tr>
        <w:trPr>
          <w:trHeight w:val="1435" w:hRule="atLeast"/>
        </w:trPr>
        <w:tc>
          <w:tcPr>
            <w:tcW w:w="2102" w:type="dxa"/>
            <w:tcBorders/>
            <w:shd w:fill="auto" w:val="clear"/>
          </w:tcPr>
          <w:p>
            <w:pPr>
              <w:pStyle w:val="Normal"/>
              <w:spacing w:lineRule="auto" w:line="259" w:before="0" w:after="0"/>
              <w:ind w:left="0" w:right="0" w:hanging="0"/>
              <w:jc w:val="left"/>
              <w:rPr/>
            </w:pPr>
            <w:r>
              <mc:AlternateContent>
                <mc:Choice Requires="wpg">
                  <w:drawing>
                    <wp:anchor behindDoc="0" distT="0" distB="0" distL="114300" distR="114300" simplePos="0" locked="0" layoutInCell="1" allowOverlap="1" relativeHeight="3" wp14:anchorId="641BD2BE">
                      <wp:simplePos x="0" y="0"/>
                      <wp:positionH relativeFrom="column">
                        <wp:posOffset>1369695</wp:posOffset>
                      </wp:positionH>
                      <wp:positionV relativeFrom="paragraph">
                        <wp:posOffset>-16510</wp:posOffset>
                      </wp:positionV>
                      <wp:extent cx="6985" cy="913130"/>
                      <wp:effectExtent l="0" t="0" r="0" b="0"/>
                      <wp:wrapSquare wrapText="bothSides"/>
                      <wp:docPr id="17" name="Group 28522"/>
                      <a:graphic xmlns:a="http://schemas.openxmlformats.org/drawingml/2006/main">
                        <a:graphicData uri="http://schemas.microsoft.com/office/word/2010/wordprocessingGroup">
                          <wpg:wgp>
                            <wpg:cNvGrpSpPr/>
                            <wpg:grpSpPr>
                              <a:xfrm>
                                <a:off x="0" y="0"/>
                                <a:ext cx="6480" cy="912600"/>
                              </a:xfrm>
                            </wpg:grpSpPr>
                            <wps:wsp>
                              <wps:cNvSpPr/>
                              <wps:spPr>
                                <a:xfrm>
                                  <a:off x="0" y="0"/>
                                  <a:ext cx="6480" cy="14976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151920"/>
                                  <a:ext cx="6480" cy="1512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304920"/>
                                  <a:ext cx="6480" cy="14976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456480"/>
                                  <a:ext cx="6480" cy="15048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609120"/>
                                  <a:ext cx="6480" cy="151200"/>
                                </a:xfrm>
                                <a:custGeom>
                                  <a:avLst/>
                                  <a:gdLst/>
                                  <a:ahLst/>
                                  <a:rect l="l" t="t" r="r" b="b"/>
                                  <a:pathLst>
                                    <a:path w="0" h="151828">
                                      <a:moveTo>
                                        <a:pt x="0" y="151828"/>
                                      </a:moveTo>
                                      <a:lnTo>
                                        <a:pt x="0" y="0"/>
                                      </a:lnTo>
                                    </a:path>
                                  </a:pathLst>
                                </a:custGeom>
                                <a:noFill/>
                                <a:ln w="5040">
                                  <a:solidFill>
                                    <a:srgbClr val="ffffff"/>
                                  </a:solidFill>
                                </a:ln>
                              </wps:spPr>
                              <wps:style>
                                <a:lnRef idx="1"/>
                                <a:fillRef idx="0"/>
                                <a:effectRef idx="0"/>
                                <a:fontRef idx="minor"/>
                              </wps:style>
                              <wps:bodyPr/>
                            </wps:wsp>
                            <wps:wsp>
                              <wps:cNvSpPr/>
                              <wps:spPr>
                                <a:xfrm>
                                  <a:off x="0" y="762480"/>
                                  <a:ext cx="6480" cy="149760"/>
                                </a:xfrm>
                                <a:custGeom>
                                  <a:avLst/>
                                  <a:gdLst/>
                                  <a:ahLst/>
                                  <a:rect l="l" t="t" r="r" b="b"/>
                                  <a:pathLst>
                                    <a:path w="0" h="151829">
                                      <a:moveTo>
                                        <a:pt x="0" y="151829"/>
                                      </a:moveTo>
                                      <a:lnTo>
                                        <a:pt x="0" y="0"/>
                                      </a:lnTo>
                                    </a:path>
                                  </a:pathLst>
                                </a:custGeom>
                                <a:noFill/>
                                <a:ln w="5040">
                                  <a:solidFill>
                                    <a:srgbClr val="ffffff"/>
                                  </a:solidFill>
                                </a:ln>
                              </wps:spPr>
                              <wps:style>
                                <a:lnRef idx="1"/>
                                <a:fillRef idx="0"/>
                                <a:effectRef idx="0"/>
                                <a:fontRef idx="minor"/>
                              </wps:style>
                              <wps:bodyPr/>
                            </wps:wsp>
                          </wpg:wgp>
                        </a:graphicData>
                      </a:graphic>
                    </wp:anchor>
                  </w:drawing>
                </mc:Choice>
                <mc:Fallback>
                  <w:pict>
                    <v:group id="shape_0" alt="Group 28522" style="position:absolute;margin-left:107.85pt;margin-top:-1.3pt;width:0.5pt;height:71.8pt" coordorigin="2157,-26" coordsize="10,1436"/>
                  </w:pict>
                </mc:Fallback>
              </mc:AlternateContent>
            </w:r>
            <w:r>
              <w:rPr/>
              <w:t>Intercept (= upstream)</w:t>
            </w:r>
          </w:p>
          <w:p>
            <w:pPr>
              <w:pStyle w:val="Normal"/>
              <w:spacing w:lineRule="auto" w:line="259" w:before="0" w:after="0"/>
              <w:ind w:left="0" w:right="0" w:hanging="0"/>
              <w:jc w:val="left"/>
              <w:rPr/>
            </w:pPr>
            <w:r>
              <w:rPr/>
              <w:t>Downstream</w:t>
            </w:r>
          </w:p>
          <w:p>
            <w:pPr>
              <w:pStyle w:val="Normal"/>
              <w:spacing w:lineRule="auto" w:line="259" w:before="0" w:after="0"/>
              <w:ind w:left="0" w:right="0" w:hanging="0"/>
              <w:jc w:val="left"/>
              <w:rPr/>
            </w:pPr>
            <w:r>
              <w:rPr/>
              <w:t>Downstream x 2008</w:t>
            </w:r>
          </w:p>
          <w:p>
            <w:pPr>
              <w:pStyle w:val="Normal"/>
              <w:spacing w:lineRule="auto" w:line="259" w:before="0" w:after="0"/>
              <w:ind w:left="0" w:right="0" w:hanging="0"/>
              <w:jc w:val="left"/>
              <w:rPr/>
            </w:pPr>
            <w:r>
              <w:rPr/>
              <w:t>Downstream x 2009</w:t>
            </w:r>
          </w:p>
          <w:p>
            <w:pPr>
              <w:pStyle w:val="Normal"/>
              <w:spacing w:lineRule="auto" w:line="259" w:before="0" w:after="0"/>
              <w:ind w:left="0" w:right="0" w:hanging="0"/>
              <w:jc w:val="left"/>
              <w:rPr/>
            </w:pPr>
            <w:r>
              <w:rPr/>
              <w:t>Year 2008</w:t>
            </w:r>
          </w:p>
          <w:p>
            <w:pPr>
              <w:pStyle w:val="Normal"/>
              <w:spacing w:lineRule="auto" w:line="259" w:before="0" w:after="0"/>
              <w:ind w:left="0" w:right="0" w:hanging="0"/>
              <w:jc w:val="left"/>
              <w:rPr/>
            </w:pPr>
            <w:r>
              <w:rPr/>
              <w:t>Year 2009</w:t>
            </w:r>
          </w:p>
        </w:tc>
        <w:tc>
          <w:tcPr>
            <w:tcW w:w="1695" w:type="dxa"/>
            <w:tcBorders/>
            <w:shd w:fill="auto" w:val="clear"/>
          </w:tcPr>
          <w:p>
            <w:pPr>
              <w:pStyle w:val="Normal"/>
              <w:spacing w:lineRule="auto" w:line="259" w:before="0" w:after="0"/>
              <w:ind w:left="361" w:right="0" w:hanging="0"/>
              <w:jc w:val="left"/>
              <w:rPr/>
            </w:pPr>
            <w:r>
              <w:rPr>
                <w:b/>
              </w:rPr>
              <w:t>-0.853</w:t>
            </w:r>
          </w:p>
          <w:p>
            <w:pPr>
              <w:pStyle w:val="Normal"/>
              <w:spacing w:lineRule="auto" w:line="240" w:before="0" w:after="0"/>
              <w:ind w:left="401" w:right="106" w:hanging="1"/>
              <w:jc w:val="left"/>
              <w:rPr/>
            </w:pPr>
            <w:r>
              <w:rPr>
                <w:b/>
              </w:rPr>
              <w:t xml:space="preserve">0.819 </w:t>
            </w:r>
            <w:r>
              <w:rPr/>
              <w:t>-0.155</w:t>
            </w:r>
          </w:p>
          <w:p>
            <w:pPr>
              <w:pStyle w:val="Normal"/>
              <w:spacing w:lineRule="auto" w:line="259" w:before="0" w:after="0"/>
              <w:ind w:left="434" w:right="0" w:hanging="0"/>
              <w:jc w:val="left"/>
              <w:rPr/>
            </w:pPr>
            <w:r>
              <w:rPr/>
              <w:t>0.073</w:t>
            </w:r>
          </w:p>
          <w:p>
            <w:pPr>
              <w:pStyle w:val="Normal"/>
              <w:spacing w:lineRule="auto" w:line="259" w:before="0" w:after="0"/>
              <w:ind w:left="400" w:right="0" w:hanging="0"/>
              <w:jc w:val="left"/>
              <w:rPr/>
            </w:pPr>
            <w:r>
              <w:rPr/>
              <w:t>-0.122</w:t>
            </w:r>
          </w:p>
          <w:p>
            <w:pPr>
              <w:pStyle w:val="Normal"/>
              <w:spacing w:lineRule="auto" w:line="259" w:before="0" w:after="0"/>
              <w:ind w:left="434" w:right="0" w:hanging="0"/>
              <w:jc w:val="left"/>
              <w:rPr/>
            </w:pPr>
            <w:r>
              <w:rPr/>
              <w:t>0.167</w:t>
            </w:r>
          </w:p>
        </w:tc>
        <w:tc>
          <w:tcPr>
            <w:tcW w:w="1709" w:type="dxa"/>
            <w:tcBorders/>
            <w:shd w:fill="auto" w:val="clear"/>
          </w:tcPr>
          <w:p>
            <w:pPr>
              <w:pStyle w:val="Normal"/>
              <w:spacing w:lineRule="auto" w:line="259" w:before="0" w:after="0"/>
              <w:ind w:left="544" w:right="0" w:hanging="0"/>
              <w:jc w:val="left"/>
              <w:rPr/>
            </w:pPr>
            <w:r>
              <w:rPr>
                <w:b/>
              </w:rPr>
              <w:t>-0.478</w:t>
            </w:r>
          </w:p>
          <w:p>
            <w:pPr>
              <w:pStyle w:val="Normal"/>
              <w:spacing w:lineRule="auto" w:line="259" w:before="0" w:after="0"/>
              <w:ind w:left="582" w:right="0" w:hanging="0"/>
              <w:jc w:val="left"/>
              <w:rPr/>
            </w:pPr>
            <w:r>
              <w:rPr>
                <w:b/>
              </w:rPr>
              <w:t>0.594</w:t>
            </w:r>
          </w:p>
          <w:p>
            <w:pPr>
              <w:pStyle w:val="Normal"/>
              <w:spacing w:lineRule="auto" w:line="259" w:before="0" w:after="0"/>
              <w:ind w:left="616" w:right="0" w:hanging="0"/>
              <w:jc w:val="left"/>
              <w:rPr/>
            </w:pPr>
            <w:r>
              <w:rPr/>
              <w:t>0.102</w:t>
            </w:r>
          </w:p>
          <w:p>
            <w:pPr>
              <w:pStyle w:val="Normal"/>
              <w:spacing w:lineRule="auto" w:line="259" w:before="0" w:after="0"/>
              <w:ind w:left="583" w:right="0" w:hanging="0"/>
              <w:jc w:val="left"/>
              <w:rPr/>
            </w:pPr>
            <w:r>
              <w:rPr/>
              <w:t>-0.053</w:t>
            </w:r>
          </w:p>
          <w:p>
            <w:pPr>
              <w:pStyle w:val="Normal"/>
              <w:spacing w:lineRule="auto" w:line="259" w:before="0" w:after="0"/>
              <w:ind w:left="583" w:right="0" w:hanging="0"/>
              <w:jc w:val="left"/>
              <w:rPr/>
            </w:pPr>
            <w:r>
              <w:rPr/>
              <w:t>-0.112</w:t>
            </w:r>
          </w:p>
          <w:p>
            <w:pPr>
              <w:pStyle w:val="Normal"/>
              <w:spacing w:lineRule="auto" w:line="259" w:before="0" w:after="0"/>
              <w:ind w:left="616" w:right="0" w:hanging="0"/>
              <w:jc w:val="left"/>
              <w:rPr/>
            </w:pPr>
            <w:r>
              <w:rPr/>
              <w:t>0.084</w:t>
            </w:r>
          </w:p>
        </w:tc>
        <w:tc>
          <w:tcPr>
            <w:tcW w:w="1520" w:type="dxa"/>
            <w:tcBorders/>
            <w:shd w:fill="auto" w:val="clear"/>
          </w:tcPr>
          <w:p>
            <w:pPr>
              <w:pStyle w:val="Normal"/>
              <w:spacing w:lineRule="auto" w:line="259" w:before="0" w:after="0"/>
              <w:ind w:left="437" w:right="0" w:hanging="0"/>
              <w:jc w:val="left"/>
              <w:rPr/>
            </w:pPr>
            <w:r>
              <w:rPr>
                <w:b/>
              </w:rPr>
              <w:t>0.603</w:t>
            </w:r>
          </w:p>
          <w:p>
            <w:pPr>
              <w:pStyle w:val="Normal"/>
              <w:spacing w:lineRule="auto" w:line="240" w:before="0" w:after="0"/>
              <w:ind w:left="438" w:right="144" w:hanging="1"/>
              <w:jc w:val="left"/>
              <w:rPr/>
            </w:pPr>
            <w:r>
              <w:rPr>
                <w:b/>
              </w:rPr>
              <w:t xml:space="preserve">1.297 </w:t>
            </w:r>
            <w:r>
              <w:rPr/>
              <w:t>-0.227</w:t>
            </w:r>
          </w:p>
          <w:p>
            <w:pPr>
              <w:pStyle w:val="Normal"/>
              <w:spacing w:lineRule="auto" w:line="259" w:before="0" w:after="0"/>
              <w:ind w:left="438" w:right="0" w:hanging="0"/>
              <w:jc w:val="left"/>
              <w:rPr/>
            </w:pPr>
            <w:r>
              <w:rPr/>
              <w:t>-0.020</w:t>
            </w:r>
          </w:p>
          <w:p>
            <w:pPr>
              <w:pStyle w:val="Normal"/>
              <w:spacing w:lineRule="auto" w:line="259" w:before="0" w:after="0"/>
              <w:ind w:left="472" w:right="0" w:hanging="0"/>
              <w:jc w:val="left"/>
              <w:rPr/>
            </w:pPr>
            <w:r>
              <w:rPr/>
              <w:t>0.026</w:t>
            </w:r>
          </w:p>
          <w:p>
            <w:pPr>
              <w:pStyle w:val="Normal"/>
              <w:spacing w:lineRule="auto" w:line="259" w:before="0" w:after="0"/>
              <w:ind w:left="438" w:right="0" w:hanging="0"/>
              <w:jc w:val="left"/>
              <w:rPr/>
            </w:pPr>
            <w:r>
              <w:rPr/>
              <w:t>-0.104</w:t>
            </w:r>
          </w:p>
        </w:tc>
        <w:tc>
          <w:tcPr>
            <w:tcW w:w="1533" w:type="dxa"/>
            <w:tcBorders/>
            <w:shd w:fill="auto" w:val="clear"/>
          </w:tcPr>
          <w:p>
            <w:pPr>
              <w:pStyle w:val="Normal"/>
              <w:spacing w:lineRule="auto" w:line="259" w:before="0" w:after="0"/>
              <w:ind w:left="320" w:right="0" w:hanging="0"/>
              <w:jc w:val="left"/>
              <w:rPr/>
            </w:pPr>
            <w:r>
              <w:rPr>
                <w:b/>
              </w:rPr>
              <w:t>-0.838</w:t>
            </w:r>
          </w:p>
          <w:p>
            <w:pPr>
              <w:pStyle w:val="Normal"/>
              <w:spacing w:lineRule="auto" w:line="240" w:before="0" w:after="0"/>
              <w:ind w:left="359" w:right="64" w:hanging="1"/>
              <w:jc w:val="left"/>
              <w:rPr/>
            </w:pPr>
            <w:r>
              <w:rPr>
                <w:b/>
              </w:rPr>
              <w:t xml:space="preserve">1.679 </w:t>
            </w:r>
            <w:r>
              <w:rPr/>
              <w:t>-0.070</w:t>
            </w:r>
          </w:p>
          <w:p>
            <w:pPr>
              <w:pStyle w:val="Normal"/>
              <w:spacing w:lineRule="auto" w:line="259" w:before="0" w:after="0"/>
              <w:ind w:left="392" w:right="0" w:hanging="0"/>
              <w:jc w:val="left"/>
              <w:rPr/>
            </w:pPr>
            <w:r>
              <w:rPr/>
              <w:t>0.248</w:t>
            </w:r>
          </w:p>
          <w:p>
            <w:pPr>
              <w:pStyle w:val="Normal"/>
              <w:spacing w:lineRule="auto" w:line="259" w:before="0" w:after="0"/>
              <w:ind w:left="359" w:right="0" w:hanging="0"/>
              <w:jc w:val="left"/>
              <w:rPr/>
            </w:pPr>
            <w:r>
              <w:rPr/>
              <w:t>-0.192</w:t>
            </w:r>
          </w:p>
          <w:p>
            <w:pPr>
              <w:pStyle w:val="Normal"/>
              <w:spacing w:lineRule="auto" w:line="259" w:before="0" w:after="0"/>
              <w:ind w:left="392" w:right="0" w:hanging="0"/>
              <w:jc w:val="left"/>
              <w:rPr/>
            </w:pPr>
            <w:r>
              <w:rPr/>
              <w:t>0.250</w:t>
            </w:r>
          </w:p>
        </w:tc>
        <w:tc>
          <w:tcPr>
            <w:tcW w:w="1219" w:type="dxa"/>
            <w:tcBorders/>
            <w:shd w:fill="auto" w:val="clear"/>
          </w:tcPr>
          <w:p>
            <w:pPr>
              <w:pStyle w:val="Normal"/>
              <w:spacing w:lineRule="auto" w:line="259" w:before="0" w:after="0"/>
              <w:ind w:left="301" w:right="0" w:hanging="0"/>
              <w:jc w:val="left"/>
              <w:rPr/>
            </w:pPr>
            <w:r>
              <w:rPr/>
              <w:t>0.111</w:t>
            </w:r>
          </w:p>
          <w:p>
            <w:pPr>
              <w:pStyle w:val="Normal"/>
              <w:spacing w:lineRule="auto" w:line="240" w:before="0" w:after="0"/>
              <w:ind w:left="7" w:right="0" w:hanging="0"/>
              <w:jc w:val="center"/>
              <w:rPr/>
            </w:pPr>
            <w:r>
              <w:rPr>
                <w:b/>
              </w:rPr>
              <w:t xml:space="preserve">0.839 </w:t>
            </w:r>
            <w:r>
              <w:rPr/>
              <w:t>-0.314</w:t>
            </w:r>
          </w:p>
          <w:p>
            <w:pPr>
              <w:pStyle w:val="Normal"/>
              <w:spacing w:lineRule="auto" w:line="259" w:before="0" w:after="0"/>
              <w:ind w:left="301" w:right="0" w:hanging="0"/>
              <w:jc w:val="left"/>
              <w:rPr/>
            </w:pPr>
            <w:r>
              <w:rPr/>
              <w:t>0.176</w:t>
            </w:r>
          </w:p>
          <w:p>
            <w:pPr>
              <w:pStyle w:val="Normal"/>
              <w:spacing w:lineRule="auto" w:line="259" w:before="0" w:after="0"/>
              <w:ind w:left="268" w:right="0" w:hanging="0"/>
              <w:jc w:val="left"/>
              <w:rPr/>
            </w:pPr>
            <w:r>
              <w:rPr/>
              <w:t>-0.154</w:t>
            </w:r>
          </w:p>
          <w:p>
            <w:pPr>
              <w:pStyle w:val="Normal"/>
              <w:spacing w:lineRule="auto" w:line="259" w:before="0" w:after="0"/>
              <w:ind w:left="301" w:right="0" w:hanging="0"/>
              <w:jc w:val="left"/>
              <w:rPr/>
            </w:pPr>
            <w:r>
              <w:rPr/>
              <w:t>0.139</w:t>
            </w:r>
          </w:p>
        </w:tc>
        <w:tc>
          <w:tcPr>
            <w:tcW w:w="378" w:type="dxa"/>
            <w:tcBorders/>
            <w:shd w:fill="auto" w:val="clear"/>
          </w:tcPr>
          <w:p>
            <w:pPr>
              <w:pStyle w:val="Normal"/>
              <w:spacing w:lineRule="auto" w:line="240" w:before="0" w:after="0"/>
              <w:rPr/>
            </w:pPr>
            <w:r>
              <w:rPr/>
            </w:r>
          </w:p>
        </w:tc>
      </w:tr>
    </w:tbl>
    <w:p>
      <w:pPr>
        <w:pStyle w:val="Normal"/>
        <w:spacing w:lineRule="auto" w:line="259" w:before="0" w:after="0"/>
        <w:ind w:left="0" w:right="-1238" w:hanging="0"/>
        <w:jc w:val="left"/>
        <w:rPr/>
      </w:pPr>
      <w:r>
        <w:rPr/>
        <mc:AlternateContent>
          <mc:Choice Requires="wpg">
            <w:drawing>
              <wp:inline distT="0" distB="0" distL="0" distR="0" wp14:anchorId="6DCE557D">
                <wp:extent cx="6419215" cy="12065"/>
                <wp:effectExtent l="0" t="0" r="0" b="0"/>
                <wp:docPr id="18" name=""/>
                <a:graphic xmlns:a="http://schemas.openxmlformats.org/drawingml/2006/main">
                  <a:graphicData uri="http://schemas.microsoft.com/office/word/2010/wordprocessingGroup">
                    <wpg:wgp>
                      <wpg:cNvGrpSpPr/>
                      <wpg:grpSpPr>
                        <a:xfrm>
                          <a:off x="0" y="0"/>
                          <a:ext cx="6418440" cy="11520"/>
                        </a:xfrm>
                      </wpg:grpSpPr>
                      <wps:wsp>
                        <wps:cNvSpPr/>
                        <wps:spPr>
                          <a:xfrm>
                            <a:off x="0" y="0"/>
                            <a:ext cx="6418440" cy="11520"/>
                          </a:xfrm>
                          <a:custGeom>
                            <a:avLst/>
                            <a:gdLst/>
                            <a:ahLst/>
                            <a:rect l="l" t="t" r="r" b="b"/>
                            <a:pathLst>
                              <a:path w="6416866" h="0">
                                <a:moveTo>
                                  <a:pt x="0" y="0"/>
                                </a:moveTo>
                                <a:lnTo>
                                  <a:pt x="6416866" y="0"/>
                                </a:lnTo>
                              </a:path>
                            </a:pathLst>
                          </a:custGeom>
                          <a:noFill/>
                          <a:ln w="10080">
                            <a:solidFill>
                              <a:srgbClr val="ffffff"/>
                            </a:solidFill>
                          </a:ln>
                        </wps:spPr>
                        <wps:style>
                          <a:lnRef idx="1"/>
                          <a:fillRef idx="0"/>
                          <a:effectRef idx="0"/>
                          <a:fontRef idx="minor"/>
                        </wps:style>
                        <wps:bodyPr/>
                      </wps:wsp>
                    </wpg:wgp>
                  </a:graphicData>
                </a:graphic>
              </wp:inline>
            </w:drawing>
          </mc:Choice>
          <mc:Fallback>
            <w:pict>
              <v:group id="shape_0" style="position:absolute;margin-left:0pt;margin-top:-0.95pt;width:505.4pt;height:0.9pt" coordorigin="0,-19" coordsize="10108,18"/>
            </w:pict>
          </mc:Fallback>
        </mc:AlternateContent>
      </w:r>
    </w:p>
    <w:p>
      <w:pPr>
        <w:pStyle w:val="Berschrift1"/>
        <w:ind w:left="-5" w:right="299" w:hanging="10"/>
        <w:rPr/>
      </w:pPr>
      <w:r>
        <w:rPr/>
      </w:r>
    </w:p>
    <w:p>
      <w:pPr>
        <w:pStyle w:val="Berschrift1"/>
        <w:ind w:left="-5" w:right="299" w:hanging="10"/>
        <w:rPr/>
      </w:pPr>
      <w:r>
        <w:rPr/>
      </w:r>
    </w:p>
    <w:p>
      <w:pPr>
        <w:pStyle w:val="Berschrift1"/>
        <w:ind w:left="10" w:right="299" w:hanging="0"/>
        <w:rPr/>
      </w:pPr>
      <w:r>
        <w:rPr/>
        <w:t>Trait proportions over time</w:t>
      </w:r>
    </w:p>
    <w:p>
      <w:pPr>
        <w:pStyle w:val="Normal"/>
        <w:ind w:left="10" w:right="299" w:hanging="0"/>
        <w:rPr/>
      </w:pPr>
      <w:r>
        <w:rPr/>
      </w:r>
    </w:p>
    <w:p>
      <w:pPr>
        <w:pStyle w:val="Normal"/>
        <w:spacing w:lineRule="auto" w:line="259" w:before="0" w:after="539"/>
        <w:ind w:left="0" w:right="-488" w:hanging="0"/>
        <w:jc w:val="left"/>
        <w:rPr/>
      </w:pPr>
      <w:r>
        <w:rPr/>
        <w:drawing>
          <wp:inline distT="0" distB="0" distL="0" distR="0">
            <wp:extent cx="5939790" cy="3599815"/>
            <wp:effectExtent l="0" t="0" r="0" b="0"/>
            <wp:docPr id="19" name="Picture 2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38" descr=""/>
                    <pic:cNvPicPr>
                      <a:picLocks noChangeAspect="1" noChangeArrowheads="1"/>
                    </pic:cNvPicPr>
                  </pic:nvPicPr>
                  <pic:blipFill>
                    <a:blip r:embed="rId146"/>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 xml:space="preserve">Figure 6: Proportions for the four harmonized traits that have been promoted by salinization and life cycle duration </w:t>
      </w:r>
      <w:r>
        <w:rPr>
          <w:i/>
        </w:rPr>
        <w:t xml:space="preserve">&gt; </w:t>
      </w:r>
      <w:r>
        <w:rPr/>
        <w:t>1 year for down- and upstream sites.</w:t>
      </w:r>
    </w:p>
    <w:p>
      <w:pPr>
        <w:pStyle w:val="Normal"/>
        <w:spacing w:lineRule="auto" w:line="259" w:before="0" w:after="539"/>
        <w:ind w:left="0" w:right="-488" w:hanging="0"/>
        <w:jc w:val="left"/>
        <w:rPr/>
      </w:pPr>
      <w:r>
        <w:rPr/>
        <w:drawing>
          <wp:inline distT="0" distB="0" distL="0" distR="0">
            <wp:extent cx="5939790" cy="3599815"/>
            <wp:effectExtent l="0" t="0" r="0" b="0"/>
            <wp:docPr id="20" name="Picture 2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49" descr=""/>
                    <pic:cNvPicPr>
                      <a:picLocks noChangeAspect="1" noChangeArrowheads="1"/>
                    </pic:cNvPicPr>
                  </pic:nvPicPr>
                  <pic:blipFill>
                    <a:blip r:embed="rId147"/>
                    <a:stretch>
                      <a:fillRect/>
                    </a:stretch>
                  </pic:blipFill>
                  <pic:spPr bwMode="auto">
                    <a:xfrm>
                      <a:off x="0" y="0"/>
                      <a:ext cx="5939790" cy="3599815"/>
                    </a:xfrm>
                    <a:prstGeom prst="rect">
                      <a:avLst/>
                    </a:prstGeom>
                  </pic:spPr>
                </pic:pic>
              </a:graphicData>
            </a:graphic>
          </wp:inline>
        </w:drawing>
      </w:r>
    </w:p>
    <w:p>
      <w:pPr>
        <w:pStyle w:val="Normal"/>
        <w:ind w:left="-5" w:right="284" w:hanging="10"/>
        <w:rPr/>
      </w:pPr>
      <w:r>
        <w:rPr/>
        <w:t>Figure 7: Proportions for five selected traits for down- and upstream sites (traits that have been promoted by salinization) from Sz¨ocs et al. 2014.</w:t>
      </w:r>
    </w:p>
    <w:p>
      <w:pPr>
        <w:pStyle w:val="Normal"/>
        <w:spacing w:lineRule="auto" w:line="259" w:before="0" w:after="0"/>
        <w:ind w:left="61" w:right="0" w:hanging="0"/>
        <w:jc w:val="left"/>
        <w:rPr/>
      </w:pPr>
      <w:r>
        <w:rPr/>
      </w:r>
    </w:p>
    <w:p>
      <w:pPr>
        <w:pStyle w:val="Normal"/>
        <w:spacing w:lineRule="auto" w:line="259" w:before="0" w:after="0"/>
        <w:ind w:left="-1836" w:right="2607" w:hanging="0"/>
        <w:jc w:val="left"/>
        <w:rPr/>
      </w:pPr>
      <w:r>
        <w:rPr/>
      </w:r>
    </w:p>
    <w:tbl>
      <w:tblPr>
        <w:tblStyle w:val="TableGrid"/>
        <w:tblW w:w="7990" w:type="dxa"/>
        <w:jc w:val="left"/>
        <w:tblInd w:w="0" w:type="dxa"/>
        <w:tblBorders/>
        <w:tblCellMar>
          <w:top w:w="0" w:type="dxa"/>
          <w:left w:w="0" w:type="dxa"/>
          <w:bottom w:w="0" w:type="dxa"/>
          <w:right w:w="0" w:type="dxa"/>
        </w:tblCellMar>
        <w:tblLook w:noVBand="1" w:val="04a0" w:noHBand="0" w:lastColumn="0" w:firstColumn="1" w:lastRow="0" w:firstRow="1"/>
      </w:tblPr>
      <w:tblGrid>
        <w:gridCol w:w="4093"/>
        <w:gridCol w:w="3896"/>
      </w:tblGrid>
      <w:tr>
        <w:trPr>
          <w:trHeight w:val="1873" w:hRule="atLeast"/>
        </w:trPr>
        <w:tc>
          <w:tcPr>
            <w:tcW w:w="4093" w:type="dxa"/>
            <w:vMerge w:val="restart"/>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left="1743" w:right="0" w:hanging="0"/>
              <w:jc w:val="left"/>
              <w:rPr/>
            </w:pPr>
            <w:r>
              <w:rPr/>
            </w:r>
          </w:p>
        </w:tc>
      </w:tr>
      <w:tr>
        <w:trPr>
          <w:trHeight w:val="9743" w:hRule="atLeast"/>
        </w:trPr>
        <w:tc>
          <w:tcPr>
            <w:tcW w:w="4093" w:type="dxa"/>
            <w:vMerge w:val="continue"/>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left="-5937" w:right="282" w:hanging="0"/>
              <w:jc w:val="left"/>
              <w:rPr/>
            </w:pPr>
            <w:r>
              <w:rPr/>
            </w:r>
          </w:p>
        </w:tc>
      </w:tr>
      <w:tr>
        <w:trPr>
          <w:trHeight w:val="1188" w:hRule="atLeast"/>
        </w:trPr>
        <w:tc>
          <w:tcPr>
            <w:tcW w:w="4093" w:type="dxa"/>
            <w:vMerge w:val="continue"/>
            <w:tcBorders/>
            <w:shd w:fill="auto" w:val="clear"/>
          </w:tcPr>
          <w:p>
            <w:pPr>
              <w:pStyle w:val="Normal"/>
              <w:spacing w:lineRule="auto" w:line="259" w:before="0" w:after="0"/>
              <w:ind w:left="0" w:right="0" w:hanging="0"/>
              <w:jc w:val="left"/>
              <w:rPr/>
            </w:pPr>
            <w:r>
              <w:rPr/>
            </w:r>
          </w:p>
        </w:tc>
        <w:tc>
          <w:tcPr>
            <w:tcW w:w="3896" w:type="dxa"/>
            <w:tcBorders/>
            <w:shd w:fill="auto" w:val="clear"/>
          </w:tcPr>
          <w:p>
            <w:pPr>
              <w:pStyle w:val="Normal"/>
              <w:spacing w:lineRule="auto" w:line="259" w:before="0" w:after="0"/>
              <w:ind w:left="10" w:right="0" w:hanging="0"/>
              <w:jc w:val="left"/>
              <w:rPr/>
            </w:pPr>
            <w:r>
              <w:rPr/>
            </w:r>
          </w:p>
        </w:tc>
      </w:tr>
    </w:tbl>
    <w:p>
      <w:pPr>
        <w:pStyle w:val="Normal"/>
        <w:spacing w:lineRule="auto" w:line="259" w:before="0" w:after="0"/>
        <w:ind w:left="0" w:right="0" w:hanging="0"/>
        <w:jc w:val="left"/>
        <w:rPr/>
      </w:pPr>
      <w:r>
        <w:rPr/>
      </w:r>
    </w:p>
    <w:sectPr>
      <w:footerReference w:type="default" r:id="rId148"/>
      <w:type w:val="nextPage"/>
      <w:pgSz w:w="12240" w:h="15840"/>
      <w:pgMar w:left="1836" w:right="1537" w:header="0" w:top="185" w:footer="2215" w:bottom="242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Cambria">
    <w:charset w:val="01"/>
    <w:family w:val="roman"/>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99" w:hanging="0"/>
      <w:jc w:val="center"/>
      <w:rPr/>
    </w:pPr>
    <w:r>
      <w:rPr/>
      <w:fldChar w:fldCharType="begin"/>
    </w:r>
    <w:r>
      <w:rPr/>
      <w:instrText> PAGE </w:instrText>
    </w:r>
    <w:r>
      <w:rPr/>
      <w:fldChar w:fldCharType="separate"/>
    </w:r>
    <w:r>
      <w:rPr/>
      <w:t>23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09" w:hanging="0"/>
      </w:pPr>
      <w:rPr>
        <w:dstrike w:val="false"/>
        <w:strike w:val="false"/>
        <w:vertAlign w:val="baseline"/>
        <w:position w:val="0"/>
        <w:sz w:val="20"/>
        <w:sz w:val="20"/>
        <w:i w:val="false"/>
        <w:u w:val="none" w:color="000000"/>
        <w:b w:val="false"/>
        <w:szCs w:val="20"/>
        <w:rFonts w:eastAsia="Cambria" w:cs="Cambria"/>
        <w:color w:val="000000"/>
      </w:rPr>
    </w:lvl>
    <w:lvl w:ilvl="1">
      <w:start w:val="1"/>
      <w:numFmt w:val="lowerLetter"/>
      <w:lvlText w:val="%2"/>
      <w:lvlJc w:val="left"/>
      <w:pPr>
        <w:ind w:left="1108" w:hanging="0"/>
      </w:pPr>
      <w:rPr>
        <w:dstrike w:val="false"/>
        <w:strike w:val="false"/>
        <w:vertAlign w:val="baseline"/>
        <w:position w:val="0"/>
        <w:sz w:val="20"/>
        <w:sz w:val="20"/>
        <w:i w:val="false"/>
        <w:u w:val="none" w:color="000000"/>
        <w:b w:val="false"/>
        <w:szCs w:val="20"/>
        <w:rFonts w:eastAsia="Cambria" w:cs="Cambria"/>
        <w:color w:val="000000"/>
      </w:rPr>
    </w:lvl>
    <w:lvl w:ilvl="2">
      <w:start w:val="1"/>
      <w:numFmt w:val="lowerRoman"/>
      <w:lvlText w:val="%3"/>
      <w:lvlJc w:val="left"/>
      <w:pPr>
        <w:ind w:left="1828" w:hanging="0"/>
      </w:pPr>
      <w:rPr>
        <w:dstrike w:val="false"/>
        <w:strike w:val="false"/>
        <w:vertAlign w:val="baseline"/>
        <w:position w:val="0"/>
        <w:sz w:val="20"/>
        <w:sz w:val="20"/>
        <w:i w:val="false"/>
        <w:u w:val="none" w:color="000000"/>
        <w:b w:val="false"/>
        <w:szCs w:val="20"/>
        <w:rFonts w:eastAsia="Cambria" w:cs="Cambria"/>
        <w:color w:val="000000"/>
      </w:rPr>
    </w:lvl>
    <w:lvl w:ilvl="3">
      <w:start w:val="1"/>
      <w:numFmt w:val="decimal"/>
      <w:lvlText w:val="%4"/>
      <w:lvlJc w:val="left"/>
      <w:pPr>
        <w:ind w:left="2548" w:hanging="0"/>
      </w:pPr>
      <w:rPr>
        <w:dstrike w:val="false"/>
        <w:strike w:val="false"/>
        <w:vertAlign w:val="baseline"/>
        <w:position w:val="0"/>
        <w:sz w:val="20"/>
        <w:sz w:val="20"/>
        <w:i w:val="false"/>
        <w:u w:val="none" w:color="000000"/>
        <w:b w:val="false"/>
        <w:szCs w:val="20"/>
        <w:rFonts w:eastAsia="Cambria" w:cs="Cambria"/>
        <w:color w:val="000000"/>
      </w:rPr>
    </w:lvl>
    <w:lvl w:ilvl="4">
      <w:start w:val="1"/>
      <w:numFmt w:val="lowerLetter"/>
      <w:lvlText w:val="%5"/>
      <w:lvlJc w:val="left"/>
      <w:pPr>
        <w:ind w:left="3268" w:hanging="0"/>
      </w:pPr>
      <w:rPr>
        <w:dstrike w:val="false"/>
        <w:strike w:val="false"/>
        <w:vertAlign w:val="baseline"/>
        <w:position w:val="0"/>
        <w:sz w:val="20"/>
        <w:sz w:val="20"/>
        <w:i w:val="false"/>
        <w:u w:val="none" w:color="000000"/>
        <w:b w:val="false"/>
        <w:szCs w:val="20"/>
        <w:rFonts w:eastAsia="Cambria" w:cs="Cambria"/>
        <w:color w:val="000000"/>
      </w:rPr>
    </w:lvl>
    <w:lvl w:ilvl="5">
      <w:start w:val="1"/>
      <w:numFmt w:val="lowerRoman"/>
      <w:lvlText w:val="%6"/>
      <w:lvlJc w:val="left"/>
      <w:pPr>
        <w:ind w:left="3988" w:hanging="0"/>
      </w:pPr>
      <w:rPr>
        <w:dstrike w:val="false"/>
        <w:strike w:val="false"/>
        <w:vertAlign w:val="baseline"/>
        <w:position w:val="0"/>
        <w:sz w:val="20"/>
        <w:sz w:val="20"/>
        <w:i w:val="false"/>
        <w:u w:val="none" w:color="000000"/>
        <w:b w:val="false"/>
        <w:szCs w:val="20"/>
        <w:rFonts w:eastAsia="Cambria" w:cs="Cambria"/>
        <w:color w:val="000000"/>
      </w:rPr>
    </w:lvl>
    <w:lvl w:ilvl="6">
      <w:start w:val="1"/>
      <w:numFmt w:val="decimal"/>
      <w:lvlText w:val="%7"/>
      <w:lvlJc w:val="left"/>
      <w:pPr>
        <w:ind w:left="4708" w:hanging="0"/>
      </w:pPr>
      <w:rPr>
        <w:dstrike w:val="false"/>
        <w:strike w:val="false"/>
        <w:vertAlign w:val="baseline"/>
        <w:position w:val="0"/>
        <w:sz w:val="20"/>
        <w:sz w:val="20"/>
        <w:i w:val="false"/>
        <w:u w:val="none" w:color="000000"/>
        <w:b w:val="false"/>
        <w:szCs w:val="20"/>
        <w:rFonts w:eastAsia="Cambria" w:cs="Cambria"/>
        <w:color w:val="000000"/>
      </w:rPr>
    </w:lvl>
    <w:lvl w:ilvl="7">
      <w:start w:val="1"/>
      <w:numFmt w:val="lowerLetter"/>
      <w:lvlText w:val="%8"/>
      <w:lvlJc w:val="left"/>
      <w:pPr>
        <w:ind w:left="5428" w:hanging="0"/>
      </w:pPr>
      <w:rPr>
        <w:dstrike w:val="false"/>
        <w:strike w:val="false"/>
        <w:vertAlign w:val="baseline"/>
        <w:position w:val="0"/>
        <w:sz w:val="20"/>
        <w:sz w:val="20"/>
        <w:i w:val="false"/>
        <w:u w:val="none" w:color="000000"/>
        <w:b w:val="false"/>
        <w:szCs w:val="20"/>
        <w:rFonts w:eastAsia="Cambria" w:cs="Cambria"/>
        <w:color w:val="000000"/>
      </w:rPr>
    </w:lvl>
    <w:lvl w:ilvl="8">
      <w:start w:val="1"/>
      <w:numFmt w:val="lowerRoman"/>
      <w:lvlText w:val="%9"/>
      <w:lvlJc w:val="left"/>
      <w:pPr>
        <w:ind w:left="6148" w:hanging="0"/>
      </w:pPr>
      <w:rPr>
        <w:dstrike w:val="false"/>
        <w:strike w:val="false"/>
        <w:vertAlign w:val="baseline"/>
        <w:position w:val="0"/>
        <w:sz w:val="20"/>
        <w:sz w:val="20"/>
        <w:i w:val="false"/>
        <w:u w:val="none" w:color="000000"/>
        <w:b w:val="false"/>
        <w:szCs w:val="20"/>
        <w:rFonts w:eastAsia="Cambria" w:cs="Cambria"/>
        <w:color w:val="00000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de-DE" w:eastAsia="de-DE"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2" w:before="0" w:after="4"/>
      <w:ind w:left="10" w:right="299" w:hanging="10"/>
      <w:jc w:val="both"/>
    </w:pPr>
    <w:rPr>
      <w:rFonts w:ascii="Cambria" w:hAnsi="Cambria" w:eastAsia="Cambria" w:cs="Cambria"/>
      <w:color w:val="000000"/>
      <w:kern w:val="0"/>
      <w:sz w:val="20"/>
      <w:szCs w:val="22"/>
      <w:lang w:val="de-DE" w:eastAsia="de-DE" w:bidi="ar-SA"/>
    </w:rPr>
  </w:style>
  <w:style w:type="paragraph" w:styleId="Berschrift1">
    <w:name w:val="Heading 1"/>
    <w:basedOn w:val="Normal"/>
    <w:next w:val="Normal"/>
    <w:link w:val="Heading1Char"/>
    <w:uiPriority w:val="9"/>
    <w:qFormat/>
    <w:pPr>
      <w:keepNext w:val="true"/>
      <w:keepLines/>
      <w:widowControl/>
      <w:bidi w:val="0"/>
      <w:spacing w:before="0" w:after="93"/>
      <w:ind w:left="10" w:right="299" w:hanging="10"/>
      <w:jc w:val="left"/>
      <w:outlineLvl w:val="0"/>
    </w:pPr>
    <w:rPr>
      <w:rFonts w:ascii="Cambria" w:hAnsi="Cambria" w:eastAsia="Cambria" w:cs="Cambria"/>
      <w:b/>
      <w:color w:val="000000"/>
      <w:sz w:val="29"/>
    </w:rPr>
  </w:style>
  <w:style w:type="paragraph" w:styleId="Berschrift2">
    <w:name w:val="Heading 2"/>
    <w:basedOn w:val="Normal"/>
    <w:next w:val="Normal"/>
    <w:link w:val="Heading2Char"/>
    <w:uiPriority w:val="9"/>
    <w:unhideWhenUsed/>
    <w:qFormat/>
    <w:pPr>
      <w:keepNext w:val="true"/>
      <w:keepLines/>
      <w:widowControl/>
      <w:bidi w:val="0"/>
      <w:spacing w:lineRule="auto" w:line="247" w:before="0" w:after="76"/>
      <w:ind w:left="10" w:right="299" w:hanging="10"/>
      <w:jc w:val="left"/>
      <w:outlineLvl w:val="1"/>
    </w:pPr>
    <w:rPr>
      <w:rFonts w:ascii="Cambria" w:hAnsi="Cambria" w:eastAsia="Cambria" w:cs="Cambria"/>
      <w:b/>
      <w:color w:val="000000"/>
      <w:sz w:val="24"/>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Pr>
      <w:rFonts w:ascii="Cambria" w:hAnsi="Cambria" w:eastAsia="Cambria" w:cs="Cambria"/>
      <w:b/>
      <w:color w:val="000000"/>
      <w:sz w:val="24"/>
    </w:rPr>
  </w:style>
  <w:style w:type="character" w:styleId="Heading1Char" w:customStyle="1">
    <w:name w:val="Heading 1 Char"/>
    <w:link w:val="Heading1"/>
    <w:qFormat/>
    <w:rPr>
      <w:rFonts w:ascii="Cambria" w:hAnsi="Cambria" w:eastAsia="Cambria" w:cs="Cambria"/>
      <w:b/>
      <w:color w:val="000000"/>
      <w:sz w:val="29"/>
    </w:rPr>
  </w:style>
  <w:style w:type="character" w:styleId="ListLabel1">
    <w:name w:val="ListLabel 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
    <w:name w:val="ListLabel 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
    <w:name w:val="ListLabel 3"/>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4">
    <w:name w:val="ListLabel 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5">
    <w:name w:val="ListLabel 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6">
    <w:name w:val="ListLabel 6"/>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7">
    <w:name w:val="ListLabel 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8">
    <w:name w:val="ListLabel 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9">
    <w:name w:val="ListLabel 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0">
    <w:name w:val="ListLabel 10"/>
    <w:qFormat/>
    <w:rPr>
      <w:rFonts w:ascii="Calibri" w:hAnsi="Calibri" w:eastAsia="Calibri" w:cs="Calibri"/>
      <w:lang w:val="en-US"/>
    </w:rPr>
  </w:style>
  <w:style w:type="character" w:styleId="Internetverknpfung">
    <w:name w:val="Internetverknüpfung"/>
    <w:rPr>
      <w:color w:val="000080"/>
      <w:u w:val="single"/>
      <w:lang w:val="zxx" w:eastAsia="zxx" w:bidi="zxx"/>
    </w:rPr>
  </w:style>
  <w:style w:type="character" w:styleId="ListLabel11">
    <w:name w:val="ListLabel 11"/>
    <w:qFormat/>
    <w:rPr>
      <w:lang w:val="en-US"/>
    </w:rPr>
  </w:style>
  <w:style w:type="character" w:styleId="ListLabel12">
    <w:name w:val="ListLabel 12"/>
    <w:qFormat/>
    <w:rPr>
      <w:rFonts w:ascii="Calibri" w:hAnsi="Calibri" w:eastAsia="Calibri" w:cs="Calibri"/>
    </w:rPr>
  </w:style>
  <w:style w:type="character" w:styleId="ListLabel13">
    <w:name w:val="ListLabel 13"/>
    <w:qFormat/>
    <w:rPr/>
  </w:style>
  <w:style w:type="character" w:styleId="ListLabel14">
    <w:name w:val="ListLabel 1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5">
    <w:name w:val="ListLabel 1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6">
    <w:name w:val="ListLabel 16"/>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7">
    <w:name w:val="ListLabel 1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8">
    <w:name w:val="ListLabel 1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19">
    <w:name w:val="ListLabel 1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0">
    <w:name w:val="ListLabel 20"/>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1">
    <w:name w:val="ListLabel 2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2">
    <w:name w:val="ListLabel 2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3">
    <w:name w:val="ListLabel 23"/>
    <w:qFormat/>
    <w:rPr>
      <w:rFonts w:ascii="Calibri" w:hAnsi="Calibri" w:eastAsia="Calibri" w:cs="Calibri"/>
      <w:lang w:val="en-US"/>
    </w:rPr>
  </w:style>
  <w:style w:type="character" w:styleId="ListLabel24">
    <w:name w:val="ListLabel 24"/>
    <w:qFormat/>
    <w:rPr>
      <w:lang w:val="en-US"/>
    </w:rPr>
  </w:style>
  <w:style w:type="character" w:styleId="ListLabel25">
    <w:name w:val="ListLabel 25"/>
    <w:qFormat/>
    <w:rPr>
      <w:rFonts w:ascii="Calibri" w:hAnsi="Calibri" w:eastAsia="Calibri" w:cs="Calibri"/>
    </w:rPr>
  </w:style>
  <w:style w:type="character" w:styleId="ListLabel26">
    <w:name w:val="ListLabel 26"/>
    <w:qFormat/>
    <w:rPr/>
  </w:style>
  <w:style w:type="character" w:styleId="ListLabel27">
    <w:name w:val="ListLabel 27"/>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8">
    <w:name w:val="ListLabel 28"/>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29">
    <w:name w:val="ListLabel 29"/>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0">
    <w:name w:val="ListLabel 30"/>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1">
    <w:name w:val="ListLabel 31"/>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2">
    <w:name w:val="ListLabel 32"/>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3">
    <w:name w:val="ListLabel 33"/>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4">
    <w:name w:val="ListLabel 34"/>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5">
    <w:name w:val="ListLabel 35"/>
    <w:qFormat/>
    <w:rPr>
      <w:rFonts w:eastAsia="Cambria" w:cs="Cambria"/>
      <w:b w:val="false"/>
      <w:i w:val="false"/>
      <w:strike w:val="false"/>
      <w:dstrike w:val="false"/>
      <w:color w:val="000000"/>
      <w:position w:val="0"/>
      <w:sz w:val="20"/>
      <w:sz w:val="20"/>
      <w:szCs w:val="20"/>
      <w:u w:val="none" w:color="000000"/>
      <w:vertAlign w:val="baseline"/>
    </w:rPr>
  </w:style>
  <w:style w:type="character" w:styleId="ListLabel36">
    <w:name w:val="ListLabel 36"/>
    <w:qFormat/>
    <w:rPr>
      <w:rFonts w:ascii="Calibri" w:hAnsi="Calibri" w:eastAsia="Calibri" w:cs="Calibri"/>
      <w:lang w:val="en-US"/>
    </w:rPr>
  </w:style>
  <w:style w:type="character" w:styleId="ListLabel37">
    <w:name w:val="ListLabel 37"/>
    <w:qFormat/>
    <w:rPr>
      <w:lang w:val="en-US"/>
    </w:rPr>
  </w:style>
  <w:style w:type="character" w:styleId="ListLabel38">
    <w:name w:val="ListLabel 38"/>
    <w:qFormat/>
    <w:rPr>
      <w:rFonts w:ascii="Calibri" w:hAnsi="Calibri" w:eastAsia="Calibri" w:cs="Calibri"/>
    </w:rPr>
  </w:style>
  <w:style w:type="character" w:styleId="ListLabel39">
    <w:name w:val="ListLabel 39"/>
    <w:qFormat/>
    <w:rPr/>
  </w:style>
  <w:style w:type="paragraph" w:styleId="Berschrift">
    <w:name w:val="Überschrift"/>
    <w:basedOn w:val="Normal"/>
    <w:next w:val="Textkrper"/>
    <w:qFormat/>
    <w:pPr>
      <w:keepNext w:val="true"/>
      <w:spacing w:before="240" w:after="120"/>
    </w:pPr>
    <w:rPr>
      <w:rFonts w:ascii="Liberation Sans" w:hAnsi="Liberation Sans" w:eastAsia="AR PL SungtiL GB"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Fuzeile">
    <w:name w:val="Footer"/>
    <w:basedOn w:val="Normal"/>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KunzstLD/Invertebrate_traits" TargetMode="External"/><Relationship Id="rId4" Type="http://schemas.openxmlformats.org/officeDocument/2006/relationships/hyperlink" Target="https://github.com/KunzstLD/Invertebrate_traits" TargetMode="External"/><Relationship Id="rId5" Type="http://schemas.openxmlformats.org/officeDocument/2006/relationships/hyperlink" Target="https://github.com/KunzstLD/Trait-aggregation" TargetMode="External"/><Relationship Id="rId6" Type="http://schemas.openxmlformats.org/officeDocument/2006/relationships/hyperlink" Target="https://github.com/KunzstLD/Trait-aggregation"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hyperlink" Target="https://doi.org/10.1016/j.tree.2006.02.002" TargetMode="External"/><Relationship Id="rId12" Type="http://schemas.openxmlformats.org/officeDocument/2006/relationships/hyperlink" Target="https://doi.org/10.1016/j.tree.2006.02.002" TargetMode="External"/><Relationship Id="rId13" Type="http://schemas.openxmlformats.org/officeDocument/2006/relationships/hyperlink" Target="http://www.sciencedirect.com/science/article/pii/S0169534706000334" TargetMode="External"/><Relationship Id="rId14" Type="http://schemas.openxmlformats.org/officeDocument/2006/relationships/hyperlink" Target="http://www.sciencedirect.com/science/article/pii/S0169534706000334" TargetMode="External"/><Relationship Id="rId15" Type="http://schemas.openxmlformats.org/officeDocument/2006/relationships/hyperlink" Target="http://www.sciencedirect.com/science/article/pii/S0169534706000334" TargetMode="External"/><Relationship Id="rId16" Type="http://schemas.openxmlformats.org/officeDocument/2006/relationships/hyperlink" Target="https://doi.org/10.1111/fwb.12164" TargetMode="External"/><Relationship Id="rId17" Type="http://schemas.openxmlformats.org/officeDocument/2006/relationships/hyperlink" Target="https://doi.org/10.1111/fwb.12164" TargetMode="External"/><Relationship Id="rId18" Type="http://schemas.openxmlformats.org/officeDocument/2006/relationships/hyperlink" Target="https://onlinelibrary.wiley.com/doi/full/10.1111/fwb.12164" TargetMode="External"/><Relationship Id="rId19" Type="http://schemas.openxmlformats.org/officeDocument/2006/relationships/hyperlink" Target="https://onlinelibrary.wiley.com/doi/full/10.1111/fwb.12164" TargetMode="External"/><Relationship Id="rId20" Type="http://schemas.openxmlformats.org/officeDocument/2006/relationships/hyperlink" Target="https://doi.org/10.2307/3817" TargetMode="External"/><Relationship Id="rId21" Type="http://schemas.openxmlformats.org/officeDocument/2006/relationships/hyperlink" Target="https://doi.org/10.2307/3817" TargetMode="External"/><Relationship Id="rId22" Type="http://schemas.openxmlformats.org/officeDocument/2006/relationships/hyperlink" Target="https://www.jstor.org/stable/3817" TargetMode="External"/><Relationship Id="rId23" Type="http://schemas.openxmlformats.org/officeDocument/2006/relationships/hyperlink" Target="https://www.jstor.org/stable/3817" TargetMode="External"/><Relationship Id="rId24" Type="http://schemas.openxmlformats.org/officeDocument/2006/relationships/hyperlink" Target="https://doi.org/10.1899/12-092.1" TargetMode="External"/><Relationship Id="rId25" Type="http://schemas.openxmlformats.org/officeDocument/2006/relationships/hyperlink" Target="https://doi.org/10.1899/12-092.1" TargetMode="External"/><Relationship Id="rId26" Type="http://schemas.openxmlformats.org/officeDocument/2006/relationships/hyperlink" Target="https://doi.org/10.1899/12-092.1" TargetMode="External"/><Relationship Id="rId27" Type="http://schemas.openxmlformats.org/officeDocument/2006/relationships/hyperlink" Target="https://www.journals.uchicago.edu/doi/10.1899/12-092.1" TargetMode="External"/><Relationship Id="rId28" Type="http://schemas.openxmlformats.org/officeDocument/2006/relationships/hyperlink" Target="https://www.journals.uchicago.edu/doi/10.1899/12-092.1" TargetMode="External"/><Relationship Id="rId29" Type="http://schemas.openxmlformats.org/officeDocument/2006/relationships/hyperlink" Target="https://doi.org/10.1111/j.1365-2486.2007.01375.x" TargetMode="External"/><Relationship Id="rId30" Type="http://schemas.openxmlformats.org/officeDocument/2006/relationships/hyperlink" Target="https://doi.org/10.1111/j.1365-2486.2007.01375.x" TargetMode="External"/><Relationship Id="rId31" Type="http://schemas.openxmlformats.org/officeDocument/2006/relationships/hyperlink" Target="http://doi.wiley.com/10.1111/j.1365-2486.2007.01375.x" TargetMode="External"/><Relationship Id="rId32" Type="http://schemas.openxmlformats.org/officeDocument/2006/relationships/hyperlink" Target="http://doi.wiley.com/10.1111/j.1365-2486.2007.01375.x" TargetMode="External"/><Relationship Id="rId33" Type="http://schemas.openxmlformats.org/officeDocument/2006/relationships/hyperlink" Target="https://doi.org/10.1002/ieam.129" TargetMode="External"/><Relationship Id="rId34" Type="http://schemas.openxmlformats.org/officeDocument/2006/relationships/hyperlink" Target="https://doi.org/10.1002/ieam.129" TargetMode="External"/><Relationship Id="rId35" Type="http://schemas.openxmlformats.org/officeDocument/2006/relationships/hyperlink" Target="https://doi.org/10.1002/ieam.129" TargetMode="External"/><Relationship Id="rId36" Type="http://schemas.openxmlformats.org/officeDocument/2006/relationships/hyperlink" Target="https://setac.onlinelibrary.wiley.com/doi/abs/10.1002/ieam.129" TargetMode="External"/><Relationship Id="rId37" Type="http://schemas.openxmlformats.org/officeDocument/2006/relationships/hyperlink" Target="https://setac.onlinelibrary.wiley.com/doi/abs/10.1002/ieam.129" TargetMode="External"/><Relationship Id="rId38" Type="http://schemas.openxmlformats.org/officeDocument/2006/relationships/hyperlink" Target="https://setac.onlinelibrary.wiley.com/doi/abs/10.1002/ieam.129" TargetMode="External"/><Relationship Id="rId39" Type="http://schemas.openxmlformats.org/officeDocument/2006/relationships/hyperlink" Target="https://doi.org/10.1899/10-030.1" TargetMode="External"/><Relationship Id="rId40" Type="http://schemas.openxmlformats.org/officeDocument/2006/relationships/hyperlink" Target="https://doi.org/10.1899/10-030.1" TargetMode="External"/><Relationship Id="rId41" Type="http://schemas.openxmlformats.org/officeDocument/2006/relationships/hyperlink" Target="https://www.journals.uchicago.edu/doi/abs/10.1899/10-030.1" TargetMode="External"/><Relationship Id="rId42" Type="http://schemas.openxmlformats.org/officeDocument/2006/relationships/hyperlink" Target="https://www.journals.uchicago.edu/doi/abs/10.1899/10-030.1" TargetMode="External"/><Relationship Id="rId43" Type="http://schemas.openxmlformats.org/officeDocument/2006/relationships/hyperlink" Target="https://doi.org/10.1016/j.scitotenv.2013.08.058" TargetMode="External"/><Relationship Id="rId44" Type="http://schemas.openxmlformats.org/officeDocument/2006/relationships/hyperlink" Target="https://doi.org/10.1016/j.scitotenv.2013.08.058" TargetMode="External"/><Relationship Id="rId45" Type="http://schemas.openxmlformats.org/officeDocument/2006/relationships/hyperlink" Target="https://doi.org/10.1016/j.scitotenv.2013.08.058" TargetMode="External"/><Relationship Id="rId46" Type="http://schemas.openxmlformats.org/officeDocument/2006/relationships/hyperlink" Target="https://linkinghub.elsevier.com/retrieve/pii/S0048969713009728" TargetMode="External"/><Relationship Id="rId47" Type="http://schemas.openxmlformats.org/officeDocument/2006/relationships/hyperlink" Target="https://linkinghub.elsevier.com/retrieve/pii/S0048969713009728" TargetMode="External"/><Relationship Id="rId48" Type="http://schemas.openxmlformats.org/officeDocument/2006/relationships/hyperlink" Target="https://linkinghub.elsevier.com/retrieve/pii/S0048969713009728" TargetMode="External"/><Relationship Id="rId49" Type="http://schemas.openxmlformats.org/officeDocument/2006/relationships/hyperlink" Target="https://doi.org/10.1371/journal.pone.0130025" TargetMode="External"/><Relationship Id="rId50" Type="http://schemas.openxmlformats.org/officeDocument/2006/relationships/hyperlink" Target="https://doi.org/10.1371/journal.pone.0130025" TargetMode="External"/><Relationship Id="rId51" Type="http://schemas.openxmlformats.org/officeDocument/2006/relationships/hyperlink" Target="https://doi.org/10.1371/journal.pone.0130025" TargetMode="External"/><Relationship Id="rId52" Type="http://schemas.openxmlformats.org/officeDocument/2006/relationships/hyperlink" Target="https://www.ncbi.nlm.nih.gov/pmc/articles/PMC4469582/" TargetMode="External"/><Relationship Id="rId53" Type="http://schemas.openxmlformats.org/officeDocument/2006/relationships/hyperlink" Target="https://www.ncbi.nlm.nih.gov/pmc/articles/PMC4469582/" TargetMode="External"/><Relationship Id="rId54" Type="http://schemas.openxmlformats.org/officeDocument/2006/relationships/hyperlink" Target="https://www.ncbi.nlm.nih.gov/pmc/articles/PMC4469582/" TargetMode="External"/><Relationship Id="rId55" Type="http://schemas.openxmlformats.org/officeDocument/2006/relationships/hyperlink" Target="https://doi.org/10.1111/j.1365-2664.2010.01819.x" TargetMode="External"/><Relationship Id="rId56" Type="http://schemas.openxmlformats.org/officeDocument/2006/relationships/hyperlink" Target="https://doi.org/10.1111/j.1365-2664.2010.01819.x" TargetMode="External"/><Relationship Id="rId57" Type="http://schemas.openxmlformats.org/officeDocument/2006/relationships/hyperlink" Target="https://doi.org/10.1111/j.1365-2664.2010.01819.x" TargetMode="External"/><Relationship Id="rId58" Type="http://schemas.openxmlformats.org/officeDocument/2006/relationships/hyperlink" Target="https://besjournals.onlinelibrary.wiley.com/doi/abs/10.1111/j.1365-2664.2010.01819.x" TargetMode="External"/><Relationship Id="rId59" Type="http://schemas.openxmlformats.org/officeDocument/2006/relationships/hyperlink" Target="https://besjournals.onlinelibrary.wiley.com/doi/abs/10.1111/j.1365-2664.2010.01819.x" TargetMode="External"/><Relationship Id="rId60" Type="http://schemas.openxmlformats.org/officeDocument/2006/relationships/hyperlink" Target="https://besjournals.onlinelibrary.wiley.com/doi/abs/10.1111/j.1365-2664.2010.01819.x" TargetMode="External"/><Relationship Id="rId61" Type="http://schemas.openxmlformats.org/officeDocument/2006/relationships/hyperlink" Target="https://doi.org/10.1023/A:1017042921298" TargetMode="External"/><Relationship Id="rId62" Type="http://schemas.openxmlformats.org/officeDocument/2006/relationships/hyperlink" Target="https://doi.org/10.1023/A:1017042921298" TargetMode="External"/><Relationship Id="rId63" Type="http://schemas.openxmlformats.org/officeDocument/2006/relationships/hyperlink" Target="https://doi.org/10.1023/A:1017042921298" TargetMode="External"/><Relationship Id="rId64" Type="http://schemas.openxmlformats.org/officeDocument/2006/relationships/hyperlink" Target="https://doi.org/10.1023/A:1017042921298" TargetMode="External"/><Relationship Id="rId65" Type="http://schemas.openxmlformats.org/officeDocument/2006/relationships/hyperlink" Target="https://doi.org/10.1016/j.ecolind.2015.02.007" TargetMode="External"/><Relationship Id="rId66" Type="http://schemas.openxmlformats.org/officeDocument/2006/relationships/hyperlink" Target="https://doi.org/10.1016/j.ecolind.2015.02.007" TargetMode="External"/><Relationship Id="rId67" Type="http://schemas.openxmlformats.org/officeDocument/2006/relationships/hyperlink" Target="https://doi.org/10.1016/j.ecolind.2015.02.007" TargetMode="External"/><Relationship Id="rId68" Type="http://schemas.openxmlformats.org/officeDocument/2006/relationships/hyperlink" Target="http://www.sciencedirect.com/science/article/pii/S1470160X15000758" TargetMode="External"/><Relationship Id="rId69" Type="http://schemas.openxmlformats.org/officeDocument/2006/relationships/hyperlink" Target="http://www.sciencedirect.com/science/article/pii/S1470160X15000758" TargetMode="External"/><Relationship Id="rId70" Type="http://schemas.openxmlformats.org/officeDocument/2006/relationships/hyperlink" Target="http://www.sciencedirect.com/science/article/pii/S1470160X15000758" TargetMode="External"/><Relationship Id="rId71" Type="http://schemas.openxmlformats.org/officeDocument/2006/relationships/hyperlink" Target="https://doi.org/10.1016/j.ecolind.2020.106280" TargetMode="External"/><Relationship Id="rId72" Type="http://schemas.openxmlformats.org/officeDocument/2006/relationships/hyperlink" Target="https://doi.org/10.1016/j.ecolind.2020.106280" TargetMode="External"/><Relationship Id="rId73" Type="http://schemas.openxmlformats.org/officeDocument/2006/relationships/hyperlink" Target="https://linkinghub.elsevier.com/retrieve/pii/S1470160X2030217X" TargetMode="External"/><Relationship Id="rId74" Type="http://schemas.openxmlformats.org/officeDocument/2006/relationships/hyperlink" Target="https://linkinghub.elsevier.com/retrieve/pii/S1470160X2030217X" TargetMode="External"/><Relationship Id="rId75" Type="http://schemas.openxmlformats.org/officeDocument/2006/relationships/hyperlink" Target="https://linkinghub.elsevier.com/retrieve/pii/S1470160X2030217X" TargetMode="External"/><Relationship Id="rId76" Type="http://schemas.openxmlformats.org/officeDocument/2006/relationships/hyperlink" Target="https://doi.org/10.1007/s10750-005-1255-5" TargetMode="External"/><Relationship Id="rId77" Type="http://schemas.openxmlformats.org/officeDocument/2006/relationships/hyperlink" Target="https://doi.org/10.1007/s10750-005-1255-5" TargetMode="External"/><Relationship Id="rId78" Type="http://schemas.openxmlformats.org/officeDocument/2006/relationships/hyperlink" Target="https://doi.org/10.1007/s10750-005-1255-5" TargetMode="External"/><Relationship Id="rId79" Type="http://schemas.openxmlformats.org/officeDocument/2006/relationships/hyperlink" Target="https://doi.org/10.1007/s10750-005-1255-5" TargetMode="External"/><Relationship Id="rId80" Type="http://schemas.openxmlformats.org/officeDocument/2006/relationships/hyperlink" Target="https://doi.org/10.1007/s10750-005-1255-5" TargetMode="External"/><Relationship Id="rId81" Type="http://schemas.openxmlformats.org/officeDocument/2006/relationships/hyperlink" Target="https://doi.org/10.1899/0887-3593(2006)025%5B0730:FTNONA%5D2.0.CO;2" TargetMode="External"/><Relationship Id="rId82" Type="http://schemas.openxmlformats.org/officeDocument/2006/relationships/hyperlink" Target="https://doi.org/10.1899/0887-3593(2006)025%5B0730:FTNONA%5D2.0.CO;2" TargetMode="External"/><Relationship Id="rId83" Type="http://schemas.openxmlformats.org/officeDocument/2006/relationships/hyperlink" Target="https://doi.org/10.1899/0887-3593(2006)025%5B0730:FTNONA%5D2.0.CO;2" TargetMode="External"/><Relationship Id="rId84" Type="http://schemas.openxmlformats.org/officeDocument/2006/relationships/hyperlink" Target="https://www.journals.uchicago.edu/doi/10.1899/0887-3593(2006)025%5B0730%3AFTNONA%5D2.0.CO%3B2" TargetMode="External"/><Relationship Id="rId85" Type="http://schemas.openxmlformats.org/officeDocument/2006/relationships/hyperlink" Target="https://www.journals.uchicago.edu/doi/10.1899/0887-3593(2006)025%5B0730%3AFTNONA%5D2.0.CO%3B2" TargetMode="External"/><Relationship Id="rId86" Type="http://schemas.openxmlformats.org/officeDocument/2006/relationships/hyperlink" Target="https://www.journals.uchicago.edu/doi/10.1899/0887-3593(2006)025%5B0730%3AFTNONA%5D2.0.CO%3B2" TargetMode="External"/><Relationship Id="rId87" Type="http://schemas.openxmlformats.org/officeDocument/2006/relationships/hyperlink" Target="https://doi.org/10.1016/j.ecolind.2018.01.036" TargetMode="External"/><Relationship Id="rId88" Type="http://schemas.openxmlformats.org/officeDocument/2006/relationships/hyperlink" Target="https://doi.org/10.1016/j.ecolind.2018.01.036" TargetMode="External"/><Relationship Id="rId89" Type="http://schemas.openxmlformats.org/officeDocument/2006/relationships/hyperlink" Target="https://doi.org/10.1016/j.ecolind.2018.01.036" TargetMode="External"/><Relationship Id="rId90" Type="http://schemas.openxmlformats.org/officeDocument/2006/relationships/hyperlink" Target="https://linkinghub.elsevier.com/retrieve/pii/S1470160X18300384" TargetMode="External"/><Relationship Id="rId91" Type="http://schemas.openxmlformats.org/officeDocument/2006/relationships/hyperlink" Target="https://linkinghub.elsevier.com/retrieve/pii/S1470160X18300384" TargetMode="External"/><Relationship Id="rId92" Type="http://schemas.openxmlformats.org/officeDocument/2006/relationships/hyperlink" Target="https://linkinghub.elsevier.com/retrieve/pii/S1470160X18300384" TargetMode="External"/><Relationship Id="rId93" Type="http://schemas.openxmlformats.org/officeDocument/2006/relationships/hyperlink" Target="https://doi.org/10.1016/j.scitotenv.2011.01.053" TargetMode="External"/><Relationship Id="rId94" Type="http://schemas.openxmlformats.org/officeDocument/2006/relationships/hyperlink" Target="https://doi.org/10.1016/j.scitotenv.2011.01.053" TargetMode="External"/><Relationship Id="rId95" Type="http://schemas.openxmlformats.org/officeDocument/2006/relationships/hyperlink" Target="http://linkinghub.elsevier.com/retrieve/pii/S0048969711001124" TargetMode="External"/><Relationship Id="rId96" Type="http://schemas.openxmlformats.org/officeDocument/2006/relationships/hyperlink" Target="http://linkinghub.elsevier.com/retrieve/pii/S0048969711001124" TargetMode="External"/><Relationship Id="rId97" Type="http://schemas.openxmlformats.org/officeDocument/2006/relationships/hyperlink" Target="http://linkinghub.elsevier.com/retrieve/pii/S0048969711001124" TargetMode="External"/><Relationship Id="rId98" Type="http://schemas.openxmlformats.org/officeDocument/2006/relationships/hyperlink" Target="https://doi.org/10.1086/681623" TargetMode="External"/><Relationship Id="rId99" Type="http://schemas.openxmlformats.org/officeDocument/2006/relationships/hyperlink" Target="https://doi.org/10.1086/681623" TargetMode="External"/><Relationship Id="rId100" Type="http://schemas.openxmlformats.org/officeDocument/2006/relationships/hyperlink" Target="https://www.journals.uchicago.edu/doi/10.1086/681623" TargetMode="External"/><Relationship Id="rId101" Type="http://schemas.openxmlformats.org/officeDocument/2006/relationships/hyperlink" Target="https://www.journals.uchicago.edu/doi/10.1086/681623" TargetMode="External"/><Relationship Id="rId102" Type="http://schemas.openxmlformats.org/officeDocument/2006/relationships/hyperlink" Target="https://www.journals.uchicago.edu/doi/10.1086/681623" TargetMode="External"/><Relationship Id="rId103" Type="http://schemas.openxmlformats.org/officeDocument/2006/relationships/hyperlink" Target="https://doi.org/10.1038/s41559-017-0426-x" TargetMode="External"/><Relationship Id="rId104" Type="http://schemas.openxmlformats.org/officeDocument/2006/relationships/hyperlink" Target="https://doi.org/10.1038/s41559-017-0426-x" TargetMode="External"/><Relationship Id="rId105" Type="http://schemas.openxmlformats.org/officeDocument/2006/relationships/hyperlink" Target="http://www.nature.com/articles/s41559-017-0426-x" TargetMode="External"/><Relationship Id="rId106" Type="http://schemas.openxmlformats.org/officeDocument/2006/relationships/hyperlink" Target="http://www.nature.com/articles/s41559-017-0426-x" TargetMode="External"/><Relationship Id="rId107" Type="http://schemas.openxmlformats.org/officeDocument/2006/relationships/hyperlink" Target="http://www.nature.com/articles/s41559-017-0426-x" TargetMode="External"/><Relationship Id="rId108" Type="http://schemas.openxmlformats.org/officeDocument/2006/relationships/hyperlink" Target="https://doi.org/10.1111/2041-210X.13288" TargetMode="External"/><Relationship Id="rId109" Type="http://schemas.openxmlformats.org/officeDocument/2006/relationships/hyperlink" Target="https://doi.org/10.1111/2041-210X.13288" TargetMode="External"/><Relationship Id="rId110" Type="http://schemas.openxmlformats.org/officeDocument/2006/relationships/hyperlink" Target="https://onlinelibrary.wiley.com/doi/abs/10.1111/2041-210X.13288" TargetMode="External"/><Relationship Id="rId111" Type="http://schemas.openxmlformats.org/officeDocument/2006/relationships/hyperlink" Target="https://onlinelibrary.wiley.com/doi/abs/10.1111/2041-210X.13288" TargetMode="External"/><Relationship Id="rId112" Type="http://schemas.openxmlformats.org/officeDocument/2006/relationships/hyperlink" Target="https://doi.org/10.1002/ieam.128" TargetMode="External"/><Relationship Id="rId113" Type="http://schemas.openxmlformats.org/officeDocument/2006/relationships/hyperlink" Target="https://doi.org/10.1002/ieam.128" TargetMode="External"/><Relationship Id="rId114" Type="http://schemas.openxmlformats.org/officeDocument/2006/relationships/hyperlink" Target="https://setac.onlinelibrary.wiley.com/doi/abs/10.1002/ieam.128" TargetMode="External"/><Relationship Id="rId115" Type="http://schemas.openxmlformats.org/officeDocument/2006/relationships/hyperlink" Target="https://setac.onlinelibrary.wiley.com/doi/abs/10.1002/ieam.128" TargetMode="External"/><Relationship Id="rId116" Type="http://schemas.openxmlformats.org/officeDocument/2006/relationships/hyperlink" Target="https://setac.onlinelibrary.wiley.com/doi/abs/10.1002/ieam.128" TargetMode="External"/><Relationship Id="rId117" Type="http://schemas.openxmlformats.org/officeDocument/2006/relationships/hyperlink" Target="https://doi.org/10.1016/j.ecolind.2017.05.072" TargetMode="External"/><Relationship Id="rId118" Type="http://schemas.openxmlformats.org/officeDocument/2006/relationships/hyperlink" Target="https://doi.org/10.1016/j.ecolind.2017.05.072" TargetMode="External"/><Relationship Id="rId119" Type="http://schemas.openxmlformats.org/officeDocument/2006/relationships/hyperlink" Target="http://linkinghub.elsevier.com/retrieve/pii/S1470160X17303412" TargetMode="External"/><Relationship Id="rId120" Type="http://schemas.openxmlformats.org/officeDocument/2006/relationships/hyperlink" Target="http://linkinghub.elsevier.com/retrieve/pii/S1470160X17303412" TargetMode="External"/><Relationship Id="rId121" Type="http://schemas.openxmlformats.org/officeDocument/2006/relationships/hyperlink" Target="http://linkinghub.elsevier.com/retrieve/pii/S1470160X17303412" TargetMode="External"/><Relationship Id="rId122" Type="http://schemas.openxmlformats.org/officeDocument/2006/relationships/hyperlink" Target="https://doi.org/10.1111/fwb.12690" TargetMode="External"/><Relationship Id="rId123" Type="http://schemas.openxmlformats.org/officeDocument/2006/relationships/hyperlink" Target="https://doi.org/10.1111/fwb.12690" TargetMode="External"/><Relationship Id="rId124" Type="http://schemas.openxmlformats.org/officeDocument/2006/relationships/hyperlink" Target="https://onlinelibrary.wiley.com/doi/abs/10.1111/fwb.12690" TargetMode="External"/><Relationship Id="rId125" Type="http://schemas.openxmlformats.org/officeDocument/2006/relationships/hyperlink" Target="https://onlinelibrary.wiley.com/doi/abs/10.1111/fwb.12690" TargetMode="External"/><Relationship Id="rId126" Type="http://schemas.openxmlformats.org/officeDocument/2006/relationships/hyperlink" Target="https://doi.org/10.1111/gcb.14495" TargetMode="External"/><Relationship Id="rId127" Type="http://schemas.openxmlformats.org/officeDocument/2006/relationships/hyperlink" Target="https://doi.org/10.1111/gcb.14495" TargetMode="External"/><Relationship Id="rId128" Type="http://schemas.openxmlformats.org/officeDocument/2006/relationships/hyperlink" Target="https://onlinelibrary.wiley.com/doi/abs/10.1111/gcb.14495" TargetMode="External"/><Relationship Id="rId129" Type="http://schemas.openxmlformats.org/officeDocument/2006/relationships/hyperlink" Target="https://onlinelibrary.wiley.com/doi/abs/10.1111/gcb.14495" TargetMode="External"/><Relationship Id="rId130" Type="http://schemas.openxmlformats.org/officeDocument/2006/relationships/hyperlink" Target="https://onlinelibrary.wiley.com/doi/abs/10.1111/gcb.14495" TargetMode="External"/><Relationship Id="rId131" Type="http://schemas.openxmlformats.org/officeDocument/2006/relationships/hyperlink" Target="https://doi.org/10.1111/1365-2435.13381" TargetMode="External"/><Relationship Id="rId132" Type="http://schemas.openxmlformats.org/officeDocument/2006/relationships/hyperlink" Target="https://doi.org/10.1111/1365-2435.13381" TargetMode="External"/><Relationship Id="rId133" Type="http://schemas.openxmlformats.org/officeDocument/2006/relationships/hyperlink" Target="https://onlinelibrary.wiley.com/doi/abs/10.1111/1365-2435.13381" TargetMode="External"/><Relationship Id="rId134" Type="http://schemas.openxmlformats.org/officeDocument/2006/relationships/hyperlink" Target="https://onlinelibrary.wiley.com/doi/abs/10.1111/1365-2435.13381" TargetMode="External"/><Relationship Id="rId135" Type="http://schemas.openxmlformats.org/officeDocument/2006/relationships/hyperlink" Target="https://onlinelibrary.wiley.com/doi/abs/10.1111/1365-2435.13381" TargetMode="External"/><Relationship Id="rId136" Type="http://schemas.openxmlformats.org/officeDocument/2006/relationships/hyperlink" Target="https://doi.org/10.1007/s10750-017-3455-1" TargetMode="External"/><Relationship Id="rId137" Type="http://schemas.openxmlformats.org/officeDocument/2006/relationships/hyperlink" Target="https://doi.org/10.1007/s10750-017-3455-1" TargetMode="External"/><Relationship Id="rId138" Type="http://schemas.openxmlformats.org/officeDocument/2006/relationships/hyperlink" Target="https://doi.org/10.1007/s10750-017-3455-1" TargetMode="External"/><Relationship Id="rId139" Type="http://schemas.openxmlformats.org/officeDocument/2006/relationships/hyperlink" Target="https://doi.org/10.1007/s10750-017-3455-1" TargetMode="External"/><Relationship Id="rId140" Type="http://schemas.openxmlformats.org/officeDocument/2006/relationships/hyperlink" Target="https://doi.org/10.1007/s10750-017-3455-1" TargetMode="External"/><Relationship Id="rId141" Type="http://schemas.openxmlformats.org/officeDocument/2006/relationships/image" Target="media/image6.jpeg"/><Relationship Id="rId142" Type="http://schemas.openxmlformats.org/officeDocument/2006/relationships/image" Target="media/image7.jpeg"/><Relationship Id="rId143" Type="http://schemas.openxmlformats.org/officeDocument/2006/relationships/image" Target="media/image8.jpeg"/><Relationship Id="rId144" Type="http://schemas.openxmlformats.org/officeDocument/2006/relationships/image" Target="media/image9.jpeg"/><Relationship Id="rId145" Type="http://schemas.openxmlformats.org/officeDocument/2006/relationships/image" Target="media/image10.jpeg"/><Relationship Id="rId146" Type="http://schemas.openxmlformats.org/officeDocument/2006/relationships/image" Target="media/image11.jpeg"/><Relationship Id="rId147" Type="http://schemas.openxmlformats.org/officeDocument/2006/relationships/image" Target="media/image12.jpeg"/><Relationship Id="rId148" Type="http://schemas.openxmlformats.org/officeDocument/2006/relationships/footer" Target="footer1.xml"/><Relationship Id="rId149" Type="http://schemas.openxmlformats.org/officeDocument/2006/relationships/numbering" Target="numbering.xml"/><Relationship Id="rId150" Type="http://schemas.openxmlformats.org/officeDocument/2006/relationships/fontTable" Target="fontTable.xml"/><Relationship Id="rId151" Type="http://schemas.openxmlformats.org/officeDocument/2006/relationships/settings" Target="settings.xml"/><Relationship Id="rId1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Application>LibreOffice/6.0.7.3$Linux_X86_64 LibreOffice_project/00m0$Build-3</Application>
  <Pages>23</Pages>
  <Words>5539</Words>
  <Characters>33878</Characters>
  <CharactersWithSpaces>39060</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2020-09-04T13:24:00Z</dcterms:created>
  <dc:creator>S S</dc:creator>
  <dc:description/>
  <dc:language>de-DE</dc:language>
  <cp:lastModifiedBy>Stefan </cp:lastModifiedBy>
  <dcterms:modified xsi:type="dcterms:W3CDTF">2020-09-04T17:23:58Z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