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pPr>
      <w:bookmarkStart w:id="0" w:name="_GoBack"/>
      <w:bookmarkEnd w:id="0"/>
      <w:r>
        <w:rPr>
          <w:bCs/>
          <w:sz w:val="48"/>
          <w:szCs w:val="48"/>
          <w:lang w:eastAsia="zh-TW"/>
        </w:rPr>
        <w:softHyphen/>
        <w:t>HW</w:t>
      </w:r>
      <w:r>
        <w:rPr>
          <w:rFonts w:eastAsia="新細明體" w:cs="Times New Roman"/>
          <w:bCs/>
          <w:color w:val="auto"/>
          <w:kern w:val="0"/>
          <w:sz w:val="48"/>
          <w:szCs w:val="48"/>
          <w:lang w:val="en-US" w:eastAsia="zh-TW" w:bidi="ar-SA"/>
        </w:rPr>
        <w:t>2</w:t>
      </w:r>
      <w:r>
        <w:rPr>
          <w:bCs/>
          <w:sz w:val="48"/>
          <w:szCs w:val="48"/>
          <w:lang w:eastAsia="zh-TW"/>
        </w:rPr>
        <w:t xml:space="preserve">_ </w:t>
      </w:r>
      <w:r>
        <w:rPr>
          <w:rFonts w:eastAsia="新細明體" w:cs="Times New Roman"/>
          <w:bCs/>
          <w:color w:val="auto"/>
          <w:kern w:val="0"/>
          <w:sz w:val="48"/>
          <w:szCs w:val="48"/>
          <w:lang w:val="en-US" w:eastAsia="zh-TW" w:bidi="ar-SA"/>
        </w:rPr>
        <w:t>Return Address Predictor Design</w:t>
      </w:r>
    </w:p>
    <w:p>
      <w:pPr>
        <w:pStyle w:val="Normal"/>
        <w:rPr/>
      </w:pPr>
      <w:r>
        <w:rPr>
          <w:rFonts w:ascii="Times New Roman" w:hAnsi="Times New Roman" w:eastAsia="MS Mincho"/>
          <w:lang w:eastAsia="zh-TW"/>
        </w:rPr>
        <w:t>郭宗信</w:t>
      </w:r>
      <w:r>
        <w:rPr>
          <w:lang w:eastAsia="zh-TW"/>
        </w:rPr>
        <w:t>, 111550105</w:t>
        <w:b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ffiliation"/>
        <w:jc w:val="both"/>
        <w:rPr>
          <w:lang w:eastAsia="zh-TW"/>
        </w:rPr>
      </w:pPr>
      <w:r>
        <w:rPr>
          <w:lang w:eastAsia="zh-TW"/>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jc w:val="left"/>
        <w:rPr/>
      </w:pPr>
      <w:r>
        <w:rPr>
          <w:rFonts w:eastAsia="MS Mincho"/>
          <w:i/>
          <w:iCs/>
        </w:rPr>
        <w:t>Abstract—This report presents the design and implementation of a Return Address Predictor (RAP) for the Aquila RISC-V processor to improve its CoreMark performance. We first analyze the existing Branch Prediction Unit (BPU) implementation in Aquila and its impact on CoreMark scores through experimental evaluation. Based on the analysis of branch statistics in CoreMark benchmarks, we propose a Return Address Stack (RAS) based predictor to specifically handle function return predictions. The implementation focuses on accurately predicting the target addresses of jalr instructions used for function returns. Our design incorporates a circular LIFO buffer to prevent stack overflow issues caused by tail-call optimization. Experimental results demonstrate the effectiveness of the proposed RAP design in improving branch prediction accuracy and overall processor performance.</w:t>
      </w:r>
    </w:p>
    <w:p>
      <w:pPr>
        <w:pStyle w:val="Keywords"/>
        <w:rPr/>
      </w:pPr>
      <w:r>
        <w:rPr>
          <w:rFonts w:eastAsia="MS Mincho"/>
        </w:rPr>
        <w:t>Keywords—</w:t>
      </w:r>
      <w:r>
        <w:rPr/>
        <w:t>Return Address Predictor (RAP), Aquila Processor, RISC-V, Branch Prediction Unit (BPU), CoreMark Performance, Return Address Stack (RAS), Function Return Prediction, Circular LIFO Buffer, Tail-call Optimization, Branch Prediction Accuracy</w:t>
      </w:r>
    </w:p>
    <w:p>
      <w:pPr>
        <w:pStyle w:val="Heading1"/>
        <w:numPr>
          <w:ilvl w:val="0"/>
          <w:numId w:val="4"/>
        </w:numPr>
        <w:rPr>
          <w:rFonts w:eastAsia="MS Mincho"/>
        </w:rPr>
      </w:pPr>
      <w:r>
        <w:rPr>
          <w:rFonts w:eastAsia="MS Mincho"/>
        </w:rPr>
        <w:t xml:space="preserve"> </w:t>
      </w:r>
      <w:r>
        <w:rPr>
          <w:rFonts w:eastAsia="MS Mincho"/>
        </w:rPr>
        <w:t>Introduction</w:t>
      </w:r>
    </w:p>
    <w:p>
      <w:pPr>
        <w:pStyle w:val="TextBody"/>
        <w:rPr/>
      </w:pPr>
      <w:r>
        <w:rPr/>
        <w:t>Branch prediction plays a crucial role in modern pipelined processors by reducing the performance impact of control hazards. In a 5-stage pipeline architecture like Aquila, branch instructions can introduce delays of up to two cycles while waiting for the Execute stage to determine the next Program Counter (PC) value. While traditional Branch Prediction Units (BPUs) handle conditional branches and direct jumps effectively, they often struggle with indirect jumps, particularly function returns implemented using the jalr instruction in RISC-V.</w:t>
      </w:r>
    </w:p>
    <w:p>
      <w:pPr>
        <w:pStyle w:val="TextBody"/>
        <w:rPr/>
      </w:pPr>
      <w:r>
        <w:rPr/>
        <w:t>The current Aquila implementation uses a simple 2-bit saturating counter-based predictor that works well for regular branch patterns but does not specifically address function returns. Function returns present a unique challenge because their target addresses depend on the call context rather than local or global branch history. A specialized Return Address Predictor can significantly improve prediction accuracy for these cases by maintaining a stack of return addresses that mirrors the program's call stack.</w:t>
      </w:r>
    </w:p>
    <w:p>
      <w:pPr>
        <w:pStyle w:val="Heading1"/>
        <w:numPr>
          <w:ilvl w:val="0"/>
          <w:numId w:val="4"/>
        </w:numPr>
        <w:rPr>
          <w:rFonts w:eastAsia="MS Mincho"/>
          <w:smallCaps/>
          <w:lang w:eastAsia="en-US"/>
        </w:rPr>
      </w:pPr>
      <w:r>
        <w:rPr>
          <w:rFonts w:eastAsia="MS Mincho"/>
          <w:smallCaps/>
          <w:lang w:eastAsia="en-US"/>
        </w:rPr>
        <w:t>Methodologies</w:t>
      </w:r>
    </w:p>
    <w:p>
      <w:pPr>
        <w:pStyle w:val="Heading1"/>
        <w:numPr>
          <w:ilvl w:val="0"/>
          <w:numId w:val="0"/>
        </w:numPr>
        <w:ind w:left="0" w:hanging="0"/>
        <w:jc w:val="left"/>
        <w:rPr>
          <w:b w:val="false"/>
          <w:b w:val="false"/>
          <w:bCs w:val="false"/>
          <w:i w:val="false"/>
          <w:i w:val="false"/>
          <w:iCs w:val="false"/>
        </w:rPr>
      </w:pPr>
      <w:r>
        <w:rPr>
          <w:rFonts w:eastAsia="MS Mincho"/>
          <w:b w:val="false"/>
          <w:bCs w:val="false"/>
          <w:i w:val="false"/>
          <w:iCs w:val="false"/>
          <w:lang w:eastAsia="en-US"/>
        </w:rPr>
        <w:t xml:space="preserve">This project is divided into two primary parts: analysis of the Branch Prediction Unit </w:t>
      </w:r>
      <w:r>
        <w:rPr>
          <w:rFonts w:eastAsia="MS Mincho"/>
          <w:b w:val="false"/>
          <w:bCs w:val="false"/>
          <w:i w:val="false"/>
          <w:iCs w:val="false"/>
          <w:sz w:val="18"/>
          <w:szCs w:val="18"/>
          <w:lang w:eastAsia="en-US"/>
        </w:rPr>
        <w:t>(BPU)</w:t>
      </w:r>
      <w:r>
        <w:rPr>
          <w:rFonts w:eastAsia="MS Mincho"/>
          <w:b w:val="false"/>
          <w:bCs w:val="false"/>
          <w:i w:val="false"/>
          <w:iCs w:val="false"/>
          <w:lang w:eastAsia="en-US"/>
        </w:rPr>
        <w:t xml:space="preserve"> and implementation of the Return Address Predictor </w:t>
      </w:r>
      <w:r>
        <w:rPr>
          <w:rFonts w:eastAsia="MS Mincho"/>
          <w:b w:val="false"/>
          <w:bCs w:val="false"/>
          <w:i w:val="false"/>
          <w:iCs w:val="false"/>
          <w:sz w:val="18"/>
          <w:szCs w:val="18"/>
          <w:lang w:eastAsia="en-US"/>
        </w:rPr>
        <w:t>(RAP)</w:t>
      </w:r>
      <w:r>
        <w:rPr>
          <w:rFonts w:eastAsia="MS Mincho"/>
          <w:b w:val="false"/>
          <w:bCs w:val="false"/>
          <w:i w:val="false"/>
          <w:iCs w:val="false"/>
          <w:lang w:eastAsia="en-US"/>
        </w:rPr>
        <w:t>.</w:t>
      </w:r>
    </w:p>
    <w:p>
      <w:pPr>
        <w:pStyle w:val="Heading2"/>
        <w:numPr>
          <w:ilvl w:val="1"/>
          <w:numId w:val="20"/>
        </w:numPr>
        <w:rPr>
          <w:rFonts w:eastAsia="MS Mincho"/>
          <w:i/>
          <w:i/>
          <w:iCs/>
          <w:lang w:eastAsia="en-US"/>
        </w:rPr>
      </w:pPr>
      <w:r>
        <w:rPr>
          <w:rFonts w:eastAsia="MS Mincho"/>
          <w:i/>
          <w:iCs/>
          <w:lang w:eastAsia="en-US"/>
        </w:rPr>
        <w:t>Analysis of the Branch Prediction Unit (BPU)</w:t>
      </w:r>
    </w:p>
    <w:p>
      <w:pPr>
        <w:pStyle w:val="TextBody"/>
        <w:rPr/>
      </w:pPr>
      <w:r>
        <w:rPr>
          <w:rFonts w:eastAsia="MS Mincho"/>
          <w:spacing w:val="-1"/>
          <w:lang w:eastAsia="en-US"/>
        </w:rPr>
        <w:t>The first part focuses on BPU analysis. Initially, we tested both enabling and disabling the BPU to observe CoreMark performance. We further analyzed the effect of varying Branch History Table (BHT) sizes on CoreMark scores, exploring hit and miss rates under different conditions. The analysis included several configurations:</w:t>
      </w:r>
    </w:p>
    <w:p>
      <w:pPr>
        <w:pStyle w:val="TextBody"/>
        <w:numPr>
          <w:ilvl w:val="0"/>
          <w:numId w:val="0"/>
        </w:numPr>
        <w:tabs>
          <w:tab w:val="clear" w:pos="288"/>
          <w:tab w:val="left" w:pos="0" w:leader="none"/>
        </w:tabs>
        <w:spacing w:before="0" w:after="0"/>
        <w:ind w:left="0" w:right="0" w:hanging="0"/>
        <w:rPr/>
      </w:pPr>
      <w:r>
        <w:rPr/>
        <w:t>Setting the prediction results to zero, representing always not taken,</w:t>
      </w:r>
      <w:r>
        <w:rPr>
          <w:rFonts w:eastAsia="MS Mincho" w:cs="Times New Roman"/>
          <w:color w:val="auto"/>
          <w:spacing w:val="-1"/>
          <w:kern w:val="0"/>
          <w:sz w:val="20"/>
          <w:szCs w:val="20"/>
          <w:lang w:val="en-US" w:eastAsia="en-US" w:bidi="ar-SA"/>
        </w:rPr>
        <w:t>t</w:t>
      </w:r>
      <w:r>
        <w:rPr/>
        <w:t>reating both outcomes as not taken,</w:t>
      </w:r>
      <w:r>
        <w:rPr>
          <w:rFonts w:eastAsia="MS Mincho" w:cs="Times New Roman"/>
          <w:color w:val="auto"/>
          <w:spacing w:val="-1"/>
          <w:kern w:val="0"/>
          <w:sz w:val="20"/>
          <w:szCs w:val="20"/>
          <w:lang w:val="en-US" w:eastAsia="en-US" w:bidi="ar-SA"/>
        </w:rPr>
        <w:t>c</w:t>
      </w:r>
      <w:r>
        <w:rPr/>
        <w:t>ombining different logical settings to disable the BPU selectively.</w:t>
      </w:r>
    </w:p>
    <w:p>
      <w:pPr>
        <w:pStyle w:val="TextBody"/>
        <w:rPr/>
      </w:pPr>
      <w:r>
        <w:rPr/>
        <w:t>Additionally, we examined the impact of using small, medium, and large BHT sizes to observe hit and miss rate differences. For BHT size variation, three configurations were tested:</w:t>
      </w:r>
    </w:p>
    <w:p>
      <w:pPr>
        <w:pStyle w:val="TextBody"/>
        <w:numPr>
          <w:ilvl w:val="0"/>
          <w:numId w:val="12"/>
        </w:numPr>
        <w:tabs>
          <w:tab w:val="clear" w:pos="288"/>
          <w:tab w:val="left" w:pos="0" w:leader="none"/>
        </w:tabs>
        <w:spacing w:before="0" w:after="0"/>
        <w:ind w:left="709" w:right="0" w:firstLine="5"/>
        <w:rPr/>
      </w:pPr>
      <w:r>
        <w:rPr>
          <w:rStyle w:val="StrongEmphasis"/>
        </w:rPr>
        <w:t>Small</w:t>
      </w:r>
      <w:r>
        <w:rPr/>
        <w:t>: 32, 64 entries,</w:t>
      </w:r>
    </w:p>
    <w:p>
      <w:pPr>
        <w:pStyle w:val="TextBody"/>
        <w:numPr>
          <w:ilvl w:val="0"/>
          <w:numId w:val="12"/>
        </w:numPr>
        <w:tabs>
          <w:tab w:val="clear" w:pos="288"/>
          <w:tab w:val="left" w:pos="0" w:leader="none"/>
        </w:tabs>
        <w:spacing w:before="0" w:after="0"/>
        <w:ind w:left="709" w:right="0" w:firstLine="5"/>
        <w:rPr/>
      </w:pPr>
      <w:r>
        <w:rPr>
          <w:rStyle w:val="StrongEmphasis"/>
        </w:rPr>
        <w:t>Medium</w:t>
      </w:r>
      <w:r>
        <w:rPr/>
        <w:t>: 128, 256, 512 entries,</w:t>
      </w:r>
    </w:p>
    <w:p>
      <w:pPr>
        <w:pStyle w:val="TextBody"/>
        <w:numPr>
          <w:ilvl w:val="0"/>
          <w:numId w:val="12"/>
        </w:numPr>
        <w:tabs>
          <w:tab w:val="clear" w:pos="288"/>
          <w:tab w:val="left" w:pos="0" w:leader="none"/>
        </w:tabs>
        <w:ind w:left="709" w:right="0" w:firstLine="5"/>
        <w:rPr/>
      </w:pPr>
      <w:r>
        <w:rPr>
          <w:rStyle w:val="StrongEmphasis"/>
        </w:rPr>
        <w:t>Large</w:t>
      </w:r>
      <w:r>
        <w:rPr/>
        <w:t>: 1024, 8192 entries.</w:t>
      </w:r>
    </w:p>
    <w:p>
      <w:pPr>
        <w:pStyle w:val="Heading2"/>
        <w:numPr>
          <w:ilvl w:val="1"/>
          <w:numId w:val="21"/>
        </w:numPr>
        <w:rPr>
          <w:rFonts w:eastAsia="MS Mincho"/>
          <w:i/>
          <w:i/>
          <w:iCs/>
          <w:lang w:eastAsia="en-US"/>
        </w:rPr>
      </w:pPr>
      <w:r>
        <w:rPr>
          <w:rFonts w:eastAsia="MS Mincho"/>
          <w:i/>
          <w:iCs/>
          <w:lang w:eastAsia="en-US"/>
        </w:rPr>
        <w:t>Implementation of the Return Address Predictor (RAP)</w:t>
      </w:r>
    </w:p>
    <w:p>
      <w:pPr>
        <w:pStyle w:val="TextBody"/>
        <w:rPr>
          <w:rFonts w:eastAsia="MS Mincho"/>
          <w:spacing w:val="-1"/>
          <w:lang w:eastAsia="en-US"/>
        </w:rPr>
      </w:pPr>
      <w:r>
        <w:rPr>
          <w:rFonts w:eastAsia="MS Mincho"/>
          <w:spacing w:val="-1"/>
          <w:lang w:eastAsia="en-US"/>
        </w:rPr>
        <w:t xml:space="preserve">The second part involves implementing the RAP. The RAP design references the BPU structure but customizes the table and prediction mechanisms specifically for return address prediction. Unlike branch predictions, RAP does not determine if a return address should be taken or not taken, as function returns (via </w:t>
      </w:r>
      <w:r>
        <w:rPr>
          <w:rStyle w:val="SourceText"/>
          <w:spacing w:val="-1"/>
          <w:lang w:eastAsia="en-US"/>
        </w:rPr>
        <w:t>jalr</w:t>
      </w:r>
      <w:r>
        <w:rPr>
          <w:rFonts w:eastAsia="MS Mincho"/>
          <w:spacing w:val="-1"/>
          <w:lang w:eastAsia="en-US"/>
        </w:rPr>
        <w:t>) are inherently always taken. The design thus assumes an initial miss for the return prediction, creating a predictive table to communicate the predicted return address to the program counter (PC) and execution stage. In case of misprediction, the execution unit is notified to trigger a restore, prompting the pipeline to flush and recover. Architecturally, RAP operates as a stage parallel to the execution stage, as in the BPU design.</w:t>
      </w:r>
    </w:p>
    <w:p>
      <w:pPr>
        <w:pStyle w:val="Heading1"/>
        <w:numPr>
          <w:ilvl w:val="0"/>
          <w:numId w:val="4"/>
        </w:numPr>
        <w:rPr>
          <w:rFonts w:eastAsia="MS Mincho"/>
        </w:rPr>
      </w:pPr>
      <w:r>
        <w:rPr>
          <w:rFonts w:eastAsia="MS Mincho"/>
        </w:rPr>
        <w:t>Implementation</w:t>
      </w:r>
    </w:p>
    <w:p>
      <w:pPr>
        <w:pStyle w:val="TextBody"/>
        <w:rPr>
          <w:rFonts w:eastAsia="MS Mincho"/>
        </w:rPr>
      </w:pPr>
      <w:r>
        <w:rPr/>
        <w:t>This experiment used 50 iterations to stabilize CoreMark results and avoid performance disturbances.</w:t>
      </w:r>
    </w:p>
    <w:p>
      <w:pPr>
        <w:pStyle w:val="Heading2"/>
        <w:numPr>
          <w:ilvl w:val="1"/>
          <w:numId w:val="22"/>
        </w:numPr>
        <w:rPr/>
      </w:pPr>
      <w:r>
        <w:rPr/>
        <w:t>BPU Analysis</w:t>
      </w:r>
    </w:p>
    <w:p>
      <w:pPr>
        <w:pStyle w:val="TextBody"/>
        <w:rPr/>
      </w:pPr>
      <w:r>
        <w:rPr>
          <w:rFonts w:eastAsia="MS Mincho" w:cs="Times New Roman"/>
          <w:color w:val="auto"/>
          <w:spacing w:val="-1"/>
          <w:kern w:val="0"/>
          <w:sz w:val="20"/>
          <w:szCs w:val="20"/>
          <w:lang w:val="en-US" w:eastAsia="en-US" w:bidi="ar-SA"/>
        </w:rPr>
        <w:t>In this part, we analyzed the Branch Prediction Unit (BPU) by exploring the effects of enabling and disabling its core functionalities and adjusting the Branch History Table (BHT) size. This analysis aimed to observe the impact on CoreMark scores and examine hit and miss rates across different branch types.</w:t>
      </w:r>
    </w:p>
    <w:p>
      <w:pPr>
        <w:pStyle w:val="TextBody"/>
        <w:rPr/>
      </w:pPr>
      <w:r>
        <w:rPr>
          <w:rFonts w:ascii="Times New Roman" w:hAnsi="Times New Roman"/>
        </w:rPr>
        <w:t xml:space="preserve">Disabling BPU Configurations Multiple configurations were tested to disable or modify BPU operation: </w:t>
      </w:r>
      <w:r>
        <w:rPr>
          <w:rFonts w:ascii="Times New Roman" w:hAnsi="Times New Roman"/>
          <w:b/>
          <w:bCs/>
        </w:rPr>
        <w:t xml:space="preserve">Set </w:t>
      </w:r>
      <w:r>
        <w:rPr>
          <w:rStyle w:val="SourceText"/>
          <w:rFonts w:ascii="Times New Roman" w:hAnsi="Times New Roman"/>
          <w:b/>
          <w:bCs/>
        </w:rPr>
        <w:t>branch_hit_o</w:t>
      </w:r>
      <w:r>
        <w:rPr>
          <w:rFonts w:ascii="Times New Roman" w:hAnsi="Times New Roman"/>
          <w:b/>
          <w:bCs/>
        </w:rPr>
        <w:t xml:space="preserve"> to zero</w:t>
      </w:r>
      <w:r>
        <w:rPr>
          <w:rFonts w:ascii="Times New Roman" w:hAnsi="Times New Roman"/>
        </w:rPr>
        <w:t xml:space="preserve">: This configuration simulates a scenario where all branches are assumed to miss, reflecting a pessimistic approach to branch prediction. Set </w:t>
      </w:r>
      <w:r>
        <w:rPr>
          <w:rStyle w:val="SourceText"/>
          <w:rFonts w:ascii="Times New Roman" w:hAnsi="Times New Roman"/>
        </w:rPr>
        <w:t>branch_decision_o</w:t>
      </w:r>
      <w:r>
        <w:rPr>
          <w:rFonts w:ascii="Times New Roman" w:hAnsi="Times New Roman"/>
        </w:rPr>
        <w:t xml:space="preserve"> to zero: Here, all branch decisions default to not taken, which allows observation of non-branching impacts on the pipeline. Disable both </w:t>
      </w:r>
      <w:r>
        <w:rPr>
          <w:rStyle w:val="SourceText"/>
          <w:rFonts w:ascii="Times New Roman" w:hAnsi="Times New Roman"/>
          <w:b/>
          <w:bCs/>
        </w:rPr>
        <w:t>branch_hit_o</w:t>
      </w:r>
      <w:r>
        <w:rPr>
          <w:rFonts w:ascii="Times New Roman" w:hAnsi="Times New Roman"/>
          <w:b/>
          <w:bCs/>
        </w:rPr>
        <w:t xml:space="preserve"> and </w:t>
      </w:r>
      <w:r>
        <w:rPr>
          <w:rStyle w:val="SourceText"/>
          <w:rFonts w:ascii="Times New Roman" w:hAnsi="Times New Roman"/>
          <w:b/>
          <w:bCs/>
        </w:rPr>
        <w:t>branch_decision_o</w:t>
      </w:r>
      <w:r>
        <w:rPr>
          <w:rFonts w:ascii="Times New Roman" w:hAnsi="Times New Roman"/>
        </w:rPr>
        <w:t xml:space="preserve">: Both predictions are set to zero, simulating a BPU that does not participate in branch handling, allowing a control measurement for CoreMark score. </w:t>
      </w:r>
      <w:r>
        <w:rPr>
          <w:rFonts w:ascii="Times New Roman" w:hAnsi="Times New Roman"/>
          <w:b/>
          <w:bCs/>
        </w:rPr>
        <w:t xml:space="preserve">Set </w:t>
      </w:r>
      <w:r>
        <w:rPr>
          <w:rStyle w:val="SourceText"/>
          <w:rFonts w:ascii="Times New Roman" w:hAnsi="Times New Roman"/>
          <w:b/>
          <w:bCs/>
        </w:rPr>
        <w:t>we</w:t>
      </w:r>
      <w:r>
        <w:rPr>
          <w:rFonts w:ascii="Times New Roman" w:hAnsi="Times New Roman"/>
          <w:b/>
          <w:bCs/>
        </w:rPr>
        <w:t xml:space="preserve"> (write enable) to zero</w:t>
      </w:r>
      <w:r>
        <w:rPr>
          <w:rFonts w:ascii="Times New Roman" w:hAnsi="Times New Roman"/>
        </w:rPr>
        <w:t xml:space="preserve">: This halts updates to the BHT, effectively testing CoreMark performance with a static, non-updating prediction table. Set both </w:t>
      </w:r>
      <w:r>
        <w:rPr>
          <w:rStyle w:val="SourceText"/>
          <w:rFonts w:ascii="Times New Roman" w:hAnsi="Times New Roman"/>
        </w:rPr>
        <w:t>branch_hit_o</w:t>
      </w:r>
      <w:r>
        <w:rPr>
          <w:rFonts w:ascii="Times New Roman" w:hAnsi="Times New Roman"/>
        </w:rPr>
        <w:t xml:space="preserve"> and </w:t>
      </w:r>
      <w:r>
        <w:rPr>
          <w:rStyle w:val="SourceText"/>
          <w:rFonts w:ascii="Times New Roman" w:hAnsi="Times New Roman"/>
        </w:rPr>
        <w:t>branch_decision_o</w:t>
      </w:r>
      <w:r>
        <w:rPr>
          <w:rFonts w:ascii="Times New Roman" w:hAnsi="Times New Roman"/>
        </w:rPr>
        <w:t xml:space="preserve"> to one: In this configuration, the BPU assumes all branches are correctly predicted, representing an ideal scenario with zero mispredictions.</w:t>
      </w:r>
    </w:p>
    <w:p>
      <w:pPr>
        <w:pStyle w:val="Figurecaption"/>
        <w:numPr>
          <w:ilvl w:val="0"/>
          <w:numId w:val="0"/>
        </w:numPr>
        <w:ind w:left="0" w:right="0" w:hanging="0"/>
        <w:rPr/>
      </w:pPr>
      <w:r>
        <w:rPr>
          <w:rFonts w:eastAsia="MS Mincho" w:cs="Times New Roman"/>
          <w:b w:val="false"/>
          <w:bCs w:val="false"/>
          <w:i w:val="false"/>
          <w:iCs w:val="false"/>
          <w:color w:val="auto"/>
          <w:kern w:val="0"/>
          <w:sz w:val="16"/>
          <w:szCs w:val="16"/>
          <w:lang w:val="en-US" w:eastAsia="en-US" w:bidi="ar-SA"/>
        </w:rPr>
        <w:t xml:space="preserve">Fig.1. </w:t>
      </w:r>
      <w:r>
        <w:rPr>
          <w:rFonts w:eastAsia="MS Mincho" w:cs="Times New Roman"/>
          <w:i/>
          <w:iCs/>
          <w:color w:val="auto"/>
          <w:kern w:val="0"/>
          <w:sz w:val="16"/>
          <w:szCs w:val="16"/>
          <w:lang w:val="en-US" w:eastAsia="en-US" w:bidi="ar-SA"/>
        </w:rPr>
        <w:tab/>
        <w:t>flowchart of  hit rate analysis</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99765" cy="29394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199765" cy="2939415"/>
                    </a:xfrm>
                    <a:prstGeom prst="rect">
                      <a:avLst/>
                    </a:prstGeom>
                  </pic:spPr>
                </pic:pic>
              </a:graphicData>
            </a:graphic>
          </wp:anchor>
        </w:drawing>
      </w:r>
    </w:p>
    <w:p>
      <w:pPr>
        <w:pStyle w:val="TextBody"/>
        <w:rPr/>
      </w:pPr>
      <w:r>
        <w:rPr/>
        <w:t xml:space="preserve">Adjusting BHT Size To understand the effect of BHT size on prediction accuracy and pipeline performance, we tested the BPU with small, medium, and large BHT configurations: </w:t>
      </w:r>
      <w:r>
        <w:rPr>
          <w:b/>
          <w:bCs/>
        </w:rPr>
        <w:t>Small BHT</w:t>
      </w:r>
      <w:r>
        <w:rPr/>
        <w:t xml:space="preserve"> </w:t>
      </w:r>
      <w:r>
        <w:rPr>
          <w:b/>
          <w:bCs/>
        </w:rPr>
        <w:t>sizes</w:t>
      </w:r>
      <w:r>
        <w:rPr/>
        <w:t xml:space="preserve">: 32 and 64 entries, representing minimal allocation for branch prediction history. </w:t>
      </w:r>
      <w:r>
        <w:rPr>
          <w:b/>
          <w:bCs/>
        </w:rPr>
        <w:t>Medium BHT sizes</w:t>
      </w:r>
      <w:r>
        <w:rPr/>
        <w:t xml:space="preserve">: 128, 256, and 512 entries, providing a balanced allocation of resources. </w:t>
      </w:r>
      <w:r>
        <w:rPr>
          <w:b/>
          <w:bCs/>
        </w:rPr>
        <w:t>Large BHT sizes</w:t>
      </w:r>
      <w:r>
        <w:rPr/>
        <w:t>: 1024 and 8192 entries, representing extensive allocation for high-performance prediction data storage.</w:t>
      </w:r>
    </w:p>
    <w:p>
      <w:pPr>
        <w:pStyle w:val="Heading2"/>
        <w:numPr>
          <w:ilvl w:val="1"/>
          <w:numId w:val="23"/>
        </w:numPr>
        <w:rPr/>
      </w:pPr>
      <w:r>
        <w:rPr/>
        <w:t>Return Address Predictor (RAP) Implementation</w:t>
      </w:r>
    </w:p>
    <w:p>
      <w:pPr>
        <w:pStyle w:val="TextBody"/>
        <w:rPr/>
      </w:pPr>
      <w:r>
        <w:rPr/>
        <w:t xml:space="preserve">The RAP module functions as a specialized Return Address Predictor for accurately predicting function return addresses, especially for `jalr` instructions. </w:t>
      </w:r>
    </w:p>
    <w:p>
      <w:pPr>
        <w:pStyle w:val="TextBody"/>
        <w:rPr/>
      </w:pPr>
      <w:r>
        <w:rPr/>
        <w:t>System Parameters and Signals: The RAP module has configurable parameters: BHT_ENTRY_NUM defines the number of entries in the Branch History Table (BHT), RAS_ENTRY_NUM specifies the Return Address Stack (RAS) depth, XLEN sets the data width. Core input signals include clk_i (system clock), rst_i (reset), stall_i (stall signal), pc_i (program counter address), and branch control signals is_ret_i and is_jal_i, allowing the predictor to differentiate between function calls and returns.</w:t>
      </w:r>
    </w:p>
    <w:p>
      <w:pPr>
        <w:pStyle w:val="TextBody"/>
        <w:rPr/>
      </w:pPr>
      <w:r>
        <w:rPr/>
        <w:t>Branch History Table (BHT): The BHT is a direct-mapped table that stores branch history by associating each entry with a PC tag and target address. The we_BHT signal enables writing when a branch instruction is decoded and missing from the BHT, updating dynamically.</w:t>
      </w:r>
    </w:p>
    <w:p>
      <w:pPr>
        <w:pStyle w:val="TextBody"/>
        <w:rPr/>
      </w:pPr>
      <w:r>
        <w:rPr/>
        <w:t>Return Address Stack (RAS): The RAS uses a circular stack to store return addresses for function calls. The stack pointer (sp) tracks the top of the stack, with sp_plus_1 and sp_minus_1 supporting circular indexing. When a branch flush (flush_i) occurs, the recover signal restores the stack top from backup storage.</w:t>
      </w:r>
    </w:p>
    <w:p>
      <w:pPr>
        <w:pStyle w:val="TextBody"/>
        <w:rPr/>
      </w:pPr>
      <w:r>
        <w:rPr/>
        <w:t>Backup Storage (BS): The BS acts as a circular buffer for backup addresses, providing quick recovery if mispredictions occur. On a successful return prediction (ret_hit_o), the RAS top is pushed to the BS. If exe_ret_executed_i signals successful execution, the BS clears the top address.</w:t>
      </w:r>
    </w:p>
    <w:p>
      <w:pPr>
        <w:pStyle w:val="TextBody"/>
        <w:rPr/>
      </w:pPr>
      <w:r>
        <w:rPr/>
        <w:t>Output Signals and Counters: ret_hit_o indicates a successful return prediction, and ret_target_addr_o provides the target address. Performance counters ret_hit_count and ret_miss_count track return prediction accuracy, supporting further RAP optimizations.</w:t>
      </w:r>
    </w:p>
    <w:p>
      <w:pPr>
        <w:pStyle w:val="TextBody"/>
        <w:rPr/>
      </w:pPr>
      <w:r>
        <w:rPr/>
        <w:t>This design efficiently integrates RAS and BS mechanisms, enhancing CoreMark performance through accurate return predictions and effective misprediction recovery.</w:t>
      </w:r>
    </w:p>
    <w:p>
      <w:pPr>
        <w:pStyle w:val="Heading1"/>
        <w:numPr>
          <w:ilvl w:val="0"/>
          <w:numId w:val="4"/>
        </w:numPr>
        <w:spacing w:before="120" w:after="80"/>
        <w:rPr>
          <w:rFonts w:eastAsia="MS Mincho"/>
        </w:rPr>
      </w:pPr>
      <w:r>
        <w:rPr>
          <w:rFonts w:eastAsia="MS Mincho"/>
        </w:rPr>
        <w:t>Results</w:t>
      </w:r>
    </w:p>
    <w:p>
      <w:pPr>
        <w:pStyle w:val="Heading2"/>
        <w:numPr>
          <w:ilvl w:val="1"/>
          <w:numId w:val="24"/>
        </w:numPr>
        <w:rPr/>
      </w:pPr>
      <w:r>
        <w:rPr/>
        <w:t>BPU Analysis</w:t>
      </w:r>
    </w:p>
    <w:p>
      <w:pPr>
        <w:pStyle w:val="TextBody"/>
        <w:rPr/>
      </w:pPr>
      <w:r>
        <w:rPr/>
        <w:t>Thi</w:t>
      </w:r>
      <w:r>
        <w:rPr>
          <w:rFonts w:eastAsia="MS Mincho" w:cs="Times New Roman"/>
          <w:color w:val="auto"/>
          <w:spacing w:val="-1"/>
          <w:kern w:val="0"/>
          <w:sz w:val="20"/>
          <w:szCs w:val="20"/>
          <w:lang w:val="en-US" w:eastAsia="en-US" w:bidi="ar-SA"/>
        </w:rPr>
        <w:t>s table</w:t>
      </w:r>
      <w:r>
        <w:rPr/>
        <w:t xml:space="preserve"> </w:t>
      </w:r>
      <w:r>
        <w:rPr>
          <w:rFonts w:eastAsia="MS Mincho" w:cs="Times New Roman"/>
          <w:color w:val="auto"/>
          <w:spacing w:val="-1"/>
          <w:kern w:val="0"/>
          <w:sz w:val="20"/>
          <w:szCs w:val="20"/>
          <w:lang w:val="en-US" w:eastAsia="en-US" w:bidi="ar-SA"/>
        </w:rPr>
        <w:t xml:space="preserve">and figure </w:t>
      </w:r>
      <w:r>
        <w:rPr/>
        <w:t xml:space="preserve">presents the performance data gathered using </w:t>
      </w:r>
      <w:r>
        <w:rPr>
          <w:rFonts w:eastAsia="MS Mincho" w:cs="Times New Roman"/>
          <w:color w:val="auto"/>
          <w:spacing w:val="-1"/>
          <w:kern w:val="0"/>
          <w:sz w:val="20"/>
          <w:szCs w:val="20"/>
          <w:lang w:val="en-US" w:eastAsia="en-US" w:bidi="ar-SA"/>
        </w:rPr>
        <w:t>CoreMark.</w:t>
      </w:r>
    </w:p>
    <w:p>
      <w:pPr>
        <w:pStyle w:val="Tablehead"/>
        <w:numPr>
          <w:ilvl w:val="0"/>
          <w:numId w:val="9"/>
        </w:numPr>
        <w:rPr/>
      </w:pPr>
      <w:r>
        <w:rPr>
          <w:rFonts w:eastAsia="新細明體" w:cs="Times New Roman"/>
          <w:smallCaps/>
          <w:color w:val="auto"/>
          <w:kern w:val="0"/>
          <w:sz w:val="16"/>
          <w:szCs w:val="16"/>
          <w:lang w:val="en-US" w:eastAsia="en-US" w:bidi="ar-SA"/>
        </w:rPr>
        <w:t>coremark sore in different situztion</w:t>
      </w:r>
    </w:p>
    <w:tbl>
      <w:tblPr>
        <w:tblW w:w="4857" w:type="dxa"/>
        <w:jc w:val="center"/>
        <w:tblInd w:w="0" w:type="dxa"/>
        <w:tblLayout w:type="fixed"/>
        <w:tblCellMar>
          <w:top w:w="0" w:type="dxa"/>
          <w:left w:w="108" w:type="dxa"/>
          <w:bottom w:w="0" w:type="dxa"/>
          <w:right w:w="108" w:type="dxa"/>
        </w:tblCellMar>
      </w:tblPr>
      <w:tblGrid>
        <w:gridCol w:w="628"/>
        <w:gridCol w:w="3150"/>
        <w:gridCol w:w="1079"/>
      </w:tblGrid>
      <w:tr>
        <w:trPr>
          <w:tblHeader w:val="true"/>
          <w:trHeight w:val="240" w:hRule="atLeast"/>
          <w:cantSplit w:val="true"/>
        </w:trPr>
        <w:tc>
          <w:tcPr>
            <w:tcW w:w="628" w:type="dxa"/>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index</w:t>
            </w:r>
          </w:p>
        </w:tc>
        <w:tc>
          <w:tcPr>
            <w:tcW w:w="315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operation</w:t>
            </w:r>
          </w:p>
        </w:tc>
        <w:tc>
          <w:tcPr>
            <w:tcW w:w="1079"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score</w:t>
            </w:r>
          </w:p>
        </w:tc>
      </w:tr>
      <w:tr>
        <w:trPr>
          <w:tblHeader w:val="true"/>
          <w:trHeight w:val="320" w:hRule="atLeast"/>
        </w:trPr>
        <w:tc>
          <w:tcPr>
            <w:tcW w:w="628"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w:t>
            </w:r>
          </w:p>
        </w:tc>
        <w:tc>
          <w:tcPr>
            <w:tcW w:w="315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 xml:space="preserve">original </w:t>
            </w:r>
          </w:p>
        </w:tc>
        <w:tc>
          <w:tcPr>
            <w:tcW w:w="1079"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100.735673</w:t>
            </w:r>
          </w:p>
        </w:tc>
      </w:tr>
      <w:tr>
        <w:trPr>
          <w:trHeight w:val="320" w:hRule="atLeast"/>
        </w:trPr>
        <w:tc>
          <w:tcPr>
            <w:tcW w:w="628"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w:t>
            </w:r>
          </w:p>
        </w:tc>
        <w:tc>
          <w:tcPr>
            <w:tcW w:w="315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branch_hit_o and branch_decision_o set 0</w:t>
            </w:r>
          </w:p>
        </w:tc>
        <w:tc>
          <w:tcPr>
            <w:tcW w:w="1079"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89.146502</w:t>
            </w:r>
          </w:p>
        </w:tc>
      </w:tr>
      <w:tr>
        <w:trPr>
          <w:trHeight w:val="320" w:hRule="atLeast"/>
        </w:trPr>
        <w:tc>
          <w:tcPr>
            <w:tcW w:w="628"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w:t>
            </w:r>
          </w:p>
        </w:tc>
        <w:tc>
          <w:tcPr>
            <w:tcW w:w="315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branch_hit_o and branch_decision_o set 1</w:t>
            </w:r>
          </w:p>
        </w:tc>
        <w:tc>
          <w:tcPr>
            <w:tcW w:w="1079"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wrong</w:t>
            </w:r>
          </w:p>
        </w:tc>
      </w:tr>
      <w:tr>
        <w:trPr>
          <w:trHeight w:val="320" w:hRule="atLeast"/>
        </w:trPr>
        <w:tc>
          <w:tcPr>
            <w:tcW w:w="628"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4</w:t>
            </w:r>
          </w:p>
        </w:tc>
        <w:tc>
          <w:tcPr>
            <w:tcW w:w="315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branch_hit_o  set 0</w:t>
            </w:r>
          </w:p>
        </w:tc>
        <w:tc>
          <w:tcPr>
            <w:tcW w:w="1079"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89.146582</w:t>
            </w:r>
          </w:p>
        </w:tc>
      </w:tr>
      <w:tr>
        <w:trPr>
          <w:trHeight w:val="320" w:hRule="atLeast"/>
        </w:trPr>
        <w:tc>
          <w:tcPr>
            <w:tcW w:w="628"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w:t>
            </w:r>
          </w:p>
        </w:tc>
        <w:tc>
          <w:tcPr>
            <w:tcW w:w="315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branch_decision_o set 0</w:t>
            </w:r>
          </w:p>
        </w:tc>
        <w:tc>
          <w:tcPr>
            <w:tcW w:w="1079"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 xml:space="preserve">89.146582 </w:t>
            </w:r>
          </w:p>
        </w:tc>
      </w:tr>
    </w:tbl>
    <w:p>
      <w:pPr>
        <w:pStyle w:val="Tablefootnote"/>
        <w:numPr>
          <w:ilvl w:val="0"/>
          <w:numId w:val="0"/>
        </w:numPr>
        <w:ind w:left="0" w:right="0" w:hanging="0"/>
        <w:rPr>
          <w:rFonts w:ascii="Times New Roman" w:hAnsi="Times New Roman" w:eastAsia="新細明體" w:cs="Times New Roman"/>
          <w:color w:val="auto"/>
          <w:kern w:val="0"/>
          <w:sz w:val="20"/>
          <w:szCs w:val="20"/>
          <w:lang w:val="en-US" w:eastAsia="en-US" w:bidi="ar-SA"/>
        </w:rPr>
      </w:pPr>
      <w:r>
        <w:rPr>
          <w:rFonts w:eastAsia="新細明體" w:cs="Times New Roman"/>
          <w:color w:val="auto"/>
          <w:kern w:val="0"/>
          <w:sz w:val="20"/>
          <w:szCs w:val="20"/>
          <w:lang w:val="en-US" w:eastAsia="en-US" w:bidi="ar-SA"/>
        </w:rPr>
      </w:r>
    </w:p>
    <w:p>
      <w:pPr>
        <w:pStyle w:val="Tablehead"/>
        <w:numPr>
          <w:ilvl w:val="0"/>
          <w:numId w:val="9"/>
        </w:numPr>
        <w:ind w:left="0" w:right="0" w:hanging="0"/>
        <w:rPr>
          <w:rFonts w:ascii="Times New Roman" w:hAnsi="Times New Roman" w:eastAsia="新細明體" w:cs="Times New Roman"/>
          <w:color w:val="auto"/>
          <w:kern w:val="0"/>
          <w:sz w:val="20"/>
          <w:szCs w:val="20"/>
          <w:lang w:val="en-US" w:eastAsia="en-US" w:bidi="ar-SA"/>
        </w:rPr>
      </w:pPr>
      <w:r>
        <w:rPr>
          <w:rFonts w:eastAsia="新細明體" w:cs="Times New Roman"/>
          <w:smallCaps/>
          <w:color w:val="auto"/>
          <w:kern w:val="0"/>
          <w:sz w:val="16"/>
          <w:szCs w:val="16"/>
          <w:lang w:val="en-US" w:eastAsia="en-US" w:bidi="ar-SA"/>
        </w:rPr>
        <w:t>coremark sore in different  bpu bht size</w:t>
      </w:r>
    </w:p>
    <w:p>
      <w:pPr>
        <w:pStyle w:val="Figurecaption"/>
        <w:numPr>
          <w:ilvl w:val="0"/>
          <w:numId w:val="0"/>
        </w:numPr>
        <w:ind w:left="0" w:right="0" w:hanging="0"/>
        <w:rPr>
          <w:rFonts w:ascii="Times New Roman" w:hAnsi="Times New Roman" w:eastAsia="新細明體" w:cs="Times New Roman"/>
          <w:color w:val="auto"/>
          <w:kern w:val="0"/>
          <w:sz w:val="20"/>
          <w:szCs w:val="20"/>
          <w:lang w:val="en-US" w:eastAsia="en-US"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99765" cy="17513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199765" cy="1751330"/>
                    </a:xfrm>
                    <a:prstGeom prst="rect">
                      <a:avLst/>
                    </a:prstGeom>
                  </pic:spPr>
                </pic:pic>
              </a:graphicData>
            </a:graphic>
          </wp:anchor>
        </w:drawing>
      </w:r>
      <w:r>
        <w:rPr>
          <w:rFonts w:eastAsia="MS Mincho" w:cs="Times New Roman"/>
          <w:b w:val="false"/>
          <w:bCs w:val="false"/>
          <w:i w:val="false"/>
          <w:iCs w:val="false"/>
          <w:color w:val="auto"/>
          <w:kern w:val="0"/>
          <w:sz w:val="16"/>
          <w:szCs w:val="16"/>
          <w:lang w:val="en-US" w:eastAsia="en-US" w:bidi="ar-SA"/>
        </w:rPr>
        <w:t xml:space="preserve">Fig.. </w:t>
      </w:r>
      <w:r>
        <w:rPr>
          <w:rFonts w:eastAsia="MS Mincho" w:cs="Times New Roman"/>
          <w:i/>
          <w:iCs/>
          <w:color w:val="auto"/>
          <w:kern w:val="0"/>
          <w:sz w:val="16"/>
          <w:szCs w:val="16"/>
          <w:lang w:val="en-US" w:eastAsia="en-US" w:bidi="ar-SA"/>
        </w:rPr>
        <w:tab/>
        <w:t xml:space="preserve">figure of </w:t>
      </w:r>
      <w:r>
        <w:rPr>
          <w:rFonts w:eastAsia="MS Mincho"/>
          <w:i/>
          <w:iCs/>
          <w:sz w:val="16"/>
          <w:szCs w:val="16"/>
        </w:rPr>
        <w:t>rate of the CoreMark score versus BHT size</w:t>
      </w:r>
    </w:p>
    <w:p>
      <w:pPr>
        <w:pStyle w:val="Tablehead"/>
        <w:numPr>
          <w:ilvl w:val="0"/>
          <w:numId w:val="9"/>
        </w:numP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99765" cy="21037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199765" cy="2103755"/>
                    </a:xfrm>
                    <a:prstGeom prst="rect">
                      <a:avLst/>
                    </a:prstGeom>
                  </pic:spPr>
                </pic:pic>
              </a:graphicData>
            </a:graphic>
          </wp:anchor>
        </w:drawing>
      </w:r>
      <w:r>
        <w:rPr>
          <w:rFonts w:eastAsia="新細明體" w:cs="Times New Roman"/>
          <w:smallCaps/>
          <w:color w:val="auto"/>
          <w:kern w:val="0"/>
          <w:sz w:val="16"/>
          <w:szCs w:val="16"/>
          <w:lang w:val="en-US" w:eastAsia="en-US" w:bidi="ar-SA"/>
        </w:rPr>
        <w:t>hit rate analysis</w:t>
      </w:r>
    </w:p>
    <w:tbl>
      <w:tblPr>
        <w:tblW w:w="4865" w:type="dxa"/>
        <w:jc w:val="center"/>
        <w:tblInd w:w="0" w:type="dxa"/>
        <w:tblLayout w:type="fixed"/>
        <w:tblCellMar>
          <w:top w:w="0" w:type="dxa"/>
          <w:left w:w="108" w:type="dxa"/>
          <w:bottom w:w="0" w:type="dxa"/>
          <w:right w:w="108" w:type="dxa"/>
        </w:tblCellMar>
      </w:tblPr>
      <w:tblGrid>
        <w:gridCol w:w="630"/>
        <w:gridCol w:w="1260"/>
        <w:gridCol w:w="1620"/>
        <w:gridCol w:w="1355"/>
      </w:tblGrid>
      <w:tr>
        <w:trPr>
          <w:tblHeader w:val="true"/>
          <w:trHeight w:val="240" w:hRule="atLeast"/>
          <w:cantSplit w:val="true"/>
        </w:trPr>
        <w:tc>
          <w:tcPr>
            <w:tcW w:w="630" w:type="dxa"/>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index</w:t>
            </w:r>
          </w:p>
        </w:tc>
        <w:tc>
          <w:tcPr>
            <w:tcW w:w="126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name</w:t>
            </w:r>
          </w:p>
        </w:tc>
        <w:tc>
          <w:tcPr>
            <w:tcW w:w="1620" w:type="dxa"/>
            <w:tcBorders>
              <w:top w:val="single" w:sz="2" w:space="0" w:color="000000"/>
              <w:left w:val="single" w:sz="2" w:space="0" w:color="000000"/>
              <w:bottom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value</w:t>
            </w:r>
          </w:p>
        </w:tc>
        <w:tc>
          <w:tcPr>
            <w:tcW w:w="1355"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rate</w:t>
            </w:r>
          </w:p>
        </w:tc>
      </w:tr>
      <w:tr>
        <w:trPr>
          <w:tblHeader w:val="true"/>
          <w:trHeight w:val="320" w:hRule="atLeast"/>
        </w:trPr>
        <w:tc>
          <w:tcPr>
            <w:tcW w:w="63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w:t>
            </w:r>
          </w:p>
        </w:tc>
        <w:tc>
          <w:tcPr>
            <w:tcW w:w="126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total branch</w:t>
            </w:r>
          </w:p>
        </w:tc>
        <w:tc>
          <w:tcPr>
            <w:tcW w:w="1620" w:type="dxa"/>
            <w:tcBorders>
              <w:top w:val="single" w:sz="2" w:space="0" w:color="000000"/>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330049</w:t>
            </w:r>
          </w:p>
        </w:tc>
        <w:tc>
          <w:tcPr>
            <w:tcW w:w="135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100%</w:t>
            </w:r>
          </w:p>
        </w:tc>
      </w:tr>
      <w:tr>
        <w:trPr>
          <w:trHeight w:val="32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hit branches</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79711</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24.15%</w:t>
            </w:r>
          </w:p>
        </w:tc>
      </w:tr>
      <w:tr>
        <w:trPr>
          <w:trHeight w:val="32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miss branches</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250338</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75.84%</w:t>
            </w:r>
          </w:p>
        </w:tc>
      </w:tr>
      <w:tr>
        <w:trPr>
          <w:trHeight w:val="32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4</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jal brnach</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34170</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10.35%</w:t>
            </w:r>
          </w:p>
        </w:tc>
      </w:tr>
      <w:tr>
        <w:trPr>
          <w:trHeight w:val="32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cond branch</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295879</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89.64%</w:t>
            </w:r>
          </w:p>
        </w:tc>
      </w:tr>
      <w:tr>
        <w:trPr>
          <w:trHeight w:val="37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6</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 xml:space="preserve">jal hit </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1068</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3.12%</w:t>
            </w:r>
          </w:p>
        </w:tc>
      </w:tr>
      <w:tr>
        <w:trPr>
          <w:trHeight w:val="37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7</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jal miss</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33102</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96.87%</w:t>
            </w:r>
          </w:p>
        </w:tc>
      </w:tr>
      <w:tr>
        <w:trPr>
          <w:trHeight w:val="37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8</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 xml:space="preserve">cond hit </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78643</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 xml:space="preserve"> </w:t>
            </w:r>
            <w:r>
              <w:rPr>
                <w:rFonts w:eastAsia="新細明體" w:cs="Times New Roman"/>
                <w:color w:val="auto"/>
                <w:kern w:val="0"/>
                <w:sz w:val="16"/>
                <w:szCs w:val="16"/>
                <w:lang w:val="en-US" w:eastAsia="en-US" w:bidi="ar-SA"/>
              </w:rPr>
              <w:t>26..58%</w:t>
            </w:r>
          </w:p>
        </w:tc>
      </w:tr>
      <w:tr>
        <w:trPr>
          <w:trHeight w:val="370" w:hRule="atLeast"/>
        </w:trPr>
        <w:tc>
          <w:tcPr>
            <w:tcW w:w="63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9</w:t>
            </w:r>
          </w:p>
        </w:tc>
        <w:tc>
          <w:tcPr>
            <w:tcW w:w="126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cond miss</w:t>
            </w:r>
          </w:p>
        </w:tc>
        <w:tc>
          <w:tcPr>
            <w:tcW w:w="1620"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217236</w:t>
            </w:r>
          </w:p>
        </w:tc>
        <w:tc>
          <w:tcPr>
            <w:tcW w:w="135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73.42%</w:t>
            </w:r>
          </w:p>
        </w:tc>
      </w:tr>
    </w:tbl>
    <w:p>
      <w:pPr>
        <w:pStyle w:val="Tablefootnote"/>
        <w:numPr>
          <w:ilvl w:val="0"/>
          <w:numId w:val="0"/>
        </w:numPr>
        <w:ind w:left="0" w:right="0" w:hanging="0"/>
        <w:rPr>
          <w:rFonts w:ascii="Times New Roman" w:hAnsi="Times New Roman" w:eastAsia="新細明體" w:cs="Times New Roman"/>
          <w:color w:val="auto"/>
          <w:kern w:val="0"/>
          <w:sz w:val="20"/>
          <w:szCs w:val="20"/>
          <w:lang w:val="en-US" w:eastAsia="en-US" w:bidi="ar-SA"/>
        </w:rPr>
      </w:pPr>
      <w:r>
        <w:rPr/>
      </w:r>
    </w:p>
    <w:p>
      <w:pPr>
        <w:pStyle w:val="Heading2"/>
        <w:numPr>
          <w:ilvl w:val="1"/>
          <w:numId w:val="25"/>
        </w:numPr>
        <w:rPr/>
      </w:pPr>
      <w:r>
        <w:rPr>
          <w:rFonts w:eastAsia="MS Mincho" w:cs="Times New Roman"/>
          <w:i/>
          <w:iCs/>
          <w:color w:val="auto"/>
          <w:kern w:val="0"/>
          <w:sz w:val="20"/>
          <w:szCs w:val="20"/>
          <w:lang w:val="en-US" w:eastAsia="en-US" w:bidi="ar-SA"/>
        </w:rPr>
        <w:t>R</w:t>
      </w:r>
      <w:r>
        <w:rPr/>
        <w:t>eturn Address Predictor (RAP)</w:t>
      </w:r>
    </w:p>
    <w:p>
      <w:pPr>
        <w:pStyle w:val="Tablehead"/>
        <w:numPr>
          <w:ilvl w:val="0"/>
          <w:numId w:val="9"/>
        </w:numPr>
        <w:rPr>
          <w:rFonts w:eastAsia="MS Mincho"/>
          <w:spacing w:val="-1"/>
        </w:rPr>
      </w:pPr>
      <w:r>
        <w:rPr>
          <w:rFonts w:eastAsia="MS Mincho" w:cs="Times New Roman"/>
          <w:smallCaps/>
          <w:color w:val="auto"/>
          <w:spacing w:val="-1"/>
          <w:kern w:val="0"/>
          <w:sz w:val="16"/>
          <w:szCs w:val="16"/>
          <w:lang w:val="en-US" w:eastAsia="en-US" w:bidi="ar-SA"/>
        </w:rPr>
        <w:t>before rap and after rap</w:t>
      </w:r>
    </w:p>
    <w:tbl>
      <w:tblPr>
        <w:tblW w:w="4861" w:type="dxa"/>
        <w:jc w:val="center"/>
        <w:tblInd w:w="0" w:type="dxa"/>
        <w:tblLayout w:type="fixed"/>
        <w:tblCellMar>
          <w:top w:w="0" w:type="dxa"/>
          <w:left w:w="108" w:type="dxa"/>
          <w:bottom w:w="0" w:type="dxa"/>
          <w:right w:w="108" w:type="dxa"/>
        </w:tblCellMar>
      </w:tblPr>
      <w:tblGrid>
        <w:gridCol w:w="716"/>
        <w:gridCol w:w="2340"/>
        <w:gridCol w:w="1805"/>
      </w:tblGrid>
      <w:tr>
        <w:trPr>
          <w:tblHeader w:val="true"/>
          <w:trHeight w:val="240" w:hRule="atLeast"/>
          <w:cantSplit w:val="true"/>
        </w:trPr>
        <w:tc>
          <w:tcPr>
            <w:tcW w:w="716" w:type="dxa"/>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index</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operation</w:t>
            </w:r>
          </w:p>
        </w:tc>
        <w:tc>
          <w:tcPr>
            <w:tcW w:w="1805"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coremark score</w:t>
            </w:r>
          </w:p>
        </w:tc>
      </w:tr>
      <w:tr>
        <w:trPr>
          <w:tblHeader w:val="true"/>
          <w:trHeight w:val="320" w:hRule="atLeast"/>
        </w:trPr>
        <w:tc>
          <w:tcPr>
            <w:tcW w:w="716"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original</w:t>
            </w:r>
          </w:p>
        </w:tc>
        <w:tc>
          <w:tcPr>
            <w:tcW w:w="180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100.735673</w:t>
            </w:r>
          </w:p>
        </w:tc>
      </w:tr>
      <w:tr>
        <w:trPr>
          <w:trHeight w:val="320" w:hRule="atLeast"/>
        </w:trPr>
        <w:tc>
          <w:tcPr>
            <w:tcW w:w="716" w:type="dxa"/>
            <w:tcBorders>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with RAP</w:t>
            </w:r>
          </w:p>
        </w:tc>
        <w:tc>
          <w:tcPr>
            <w:tcW w:w="180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100.7</w:t>
            </w:r>
            <w:r>
              <w:rPr>
                <w:rFonts w:eastAsia="新細明體" w:cs="Times New Roman"/>
                <w:color w:val="auto"/>
                <w:kern w:val="0"/>
                <w:sz w:val="16"/>
                <w:szCs w:val="16"/>
                <w:lang w:val="en-US" w:eastAsia="en-US" w:bidi="ar-SA"/>
              </w:rPr>
              <w:t>4</w:t>
            </w:r>
            <w:r>
              <w:rPr>
                <w:rFonts w:eastAsia="新細明體" w:cs="Times New Roman"/>
                <w:color w:val="auto"/>
                <w:kern w:val="0"/>
                <w:sz w:val="16"/>
                <w:szCs w:val="16"/>
                <w:lang w:val="en-US" w:eastAsia="en-US" w:bidi="ar-SA"/>
              </w:rPr>
              <w:t>9427</w:t>
            </w:r>
          </w:p>
        </w:tc>
      </w:tr>
    </w:tbl>
    <w:p>
      <w:pPr>
        <w:pStyle w:val="Tablehead"/>
        <w:numPr>
          <w:ilvl w:val="0"/>
          <w:numId w:val="9"/>
        </w:numPr>
        <w:rPr>
          <w:rFonts w:eastAsia="MS Mincho"/>
          <w:spacing w:val="-1"/>
        </w:rPr>
      </w:pPr>
      <w:r>
        <w:rPr>
          <w:rFonts w:eastAsia="MS Mincho" w:cs="Times New Roman"/>
          <w:smallCaps/>
          <w:color w:val="auto"/>
          <w:spacing w:val="-1"/>
          <w:kern w:val="0"/>
          <w:sz w:val="16"/>
          <w:szCs w:val="16"/>
          <w:lang w:val="en-US" w:eastAsia="en-US" w:bidi="ar-SA"/>
        </w:rPr>
        <w:t>Hit rate</w:t>
      </w:r>
    </w:p>
    <w:tbl>
      <w:tblPr>
        <w:tblW w:w="4861" w:type="dxa"/>
        <w:jc w:val="center"/>
        <w:tblInd w:w="0" w:type="dxa"/>
        <w:tblLayout w:type="fixed"/>
        <w:tblCellMar>
          <w:top w:w="0" w:type="dxa"/>
          <w:left w:w="108" w:type="dxa"/>
          <w:bottom w:w="0" w:type="dxa"/>
          <w:right w:w="108" w:type="dxa"/>
        </w:tblCellMar>
      </w:tblPr>
      <w:tblGrid>
        <w:gridCol w:w="716"/>
        <w:gridCol w:w="2340"/>
        <w:gridCol w:w="1805"/>
      </w:tblGrid>
      <w:tr>
        <w:trPr>
          <w:tblHeader w:val="true"/>
          <w:trHeight w:val="240" w:hRule="atLeast"/>
          <w:cantSplit w:val="true"/>
        </w:trPr>
        <w:tc>
          <w:tcPr>
            <w:tcW w:w="716" w:type="dxa"/>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rFonts w:eastAsia="新細明體" w:cs="Times New Roman"/>
                <w:color w:val="auto"/>
                <w:kern w:val="0"/>
                <w:sz w:val="16"/>
                <w:szCs w:val="16"/>
                <w:lang w:val="en-US" w:eastAsia="en-US" w:bidi="ar-SA"/>
              </w:rPr>
              <w:t>index</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stage</w:t>
            </w:r>
          </w:p>
        </w:tc>
        <w:tc>
          <w:tcPr>
            <w:tcW w:w="1805"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hit rate</w:t>
            </w:r>
          </w:p>
        </w:tc>
      </w:tr>
      <w:tr>
        <w:trPr>
          <w:tblHeader w:val="true"/>
          <w:trHeight w:val="320" w:hRule="atLeast"/>
        </w:trPr>
        <w:tc>
          <w:tcPr>
            <w:tcW w:w="716"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BPU</w:t>
            </w:r>
          </w:p>
        </w:tc>
        <w:tc>
          <w:tcPr>
            <w:tcW w:w="180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24.15%</w:t>
            </w:r>
          </w:p>
        </w:tc>
      </w:tr>
      <w:tr>
        <w:trPr>
          <w:trHeight w:val="320" w:hRule="atLeast"/>
        </w:trPr>
        <w:tc>
          <w:tcPr>
            <w:tcW w:w="716" w:type="dxa"/>
            <w:tcBorders>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RAP</w:t>
            </w:r>
          </w:p>
        </w:tc>
        <w:tc>
          <w:tcPr>
            <w:tcW w:w="180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23.44%</w:t>
            </w:r>
          </w:p>
        </w:tc>
      </w:tr>
    </w:tbl>
    <w:p>
      <w:pPr>
        <w:pStyle w:val="Heading1"/>
        <w:numPr>
          <w:ilvl w:val="0"/>
          <w:numId w:val="4"/>
        </w:numPr>
        <w:spacing w:before="120" w:after="80"/>
        <w:rPr>
          <w:rFonts w:eastAsia="MS Mincho"/>
        </w:rPr>
      </w:pPr>
      <w:r>
        <w:rPr>
          <w:rFonts w:eastAsia="MS Mincho"/>
        </w:rPr>
        <w:t>Discussion</w:t>
      </w:r>
    </w:p>
    <w:p>
      <w:pPr>
        <w:pStyle w:val="Heading2"/>
        <w:numPr>
          <w:ilvl w:val="1"/>
          <w:numId w:val="26"/>
        </w:numPr>
        <w:rPr/>
      </w:pPr>
      <w:r>
        <w:rPr/>
        <w:t>BPU Analysis</w:t>
      </w:r>
    </w:p>
    <w:p>
      <w:pPr>
        <w:pStyle w:val="TextBody"/>
        <w:spacing w:before="120" w:after="80"/>
        <w:rPr>
          <w:rFonts w:ascii="Times New Roman" w:hAnsi="Times New Roman"/>
        </w:rPr>
      </w:pPr>
      <w:r>
        <w:rPr/>
        <w:t>Table I provides an analysis of various configurations for disabling core BPU signals, such as `branch_hit_o`, `branch_decision_o`, and `we`. Results indicate that disabling these signals leads to a significant drop in CoreMark scores, confirming the critical role of accurate branch prediction in performance. These signals not only control the BPU’s functionality but also directly impact prediction accuracy, as seen in the lower scores when they are disabled. This suggests that even simple BPU controls can significantly affect CoreMark performance.</w:t>
      </w:r>
    </w:p>
    <w:p>
      <w:pPr>
        <w:pStyle w:val="TextBody"/>
        <w:spacing w:before="120" w:after="80"/>
        <w:rPr>
          <w:rFonts w:ascii="Times New Roman" w:hAnsi="Times New Roman"/>
        </w:rPr>
      </w:pPr>
      <w:r>
        <w:rPr/>
        <w:t>In Table II, we examine the impact of BHT size on performance. Increasing the BHT size improves CoreMark scores substantially, with the most notable gains observed between 32 and 512 entries. Beyond 512 entries, the score stabilizes, suggesting that further increases provide diminishing returns. This plateau in performance could be due to the lack of optimization in the current BHT structure. A potential improvement might involve introducing hierarchical BHT layers, similar to cache designs, to enable more efficient lookup and larger table sizes without sacrificing speed.</w:t>
      </w:r>
    </w:p>
    <w:p>
      <w:pPr>
        <w:pStyle w:val="Heading2"/>
        <w:numPr>
          <w:ilvl w:val="1"/>
          <w:numId w:val="27"/>
        </w:numPr>
        <w:rPr/>
      </w:pPr>
      <w:r>
        <w:rPr>
          <w:rFonts w:eastAsia="MS Mincho" w:cs="Times New Roman"/>
          <w:i/>
          <w:iCs/>
          <w:color w:val="auto"/>
          <w:kern w:val="0"/>
          <w:sz w:val="20"/>
          <w:szCs w:val="20"/>
          <w:lang w:val="en-US" w:eastAsia="en-US" w:bidi="ar-SA"/>
        </w:rPr>
        <w:t>Hit Rate Analysis</w:t>
      </w:r>
    </w:p>
    <w:p>
      <w:pPr>
        <w:pStyle w:val="TextBody"/>
        <w:spacing w:before="120" w:after="80"/>
        <w:ind w:left="0" w:right="0" w:hanging="0"/>
        <w:rPr/>
      </w:pPr>
      <w:r>
        <w:rPr/>
        <w:tab/>
        <w:t>Table III provides a detailed hit rate analysis. Results indicate that the BPU has a higher success rate for conditional branches than for `jal` return instructions, where the miss rate is particularly high. This discrepancy highlights the BPU’s limitations in handling return addresses. The low hit rate for `jal` instructions suggests that a general-purpose BPU design is insufficient for accurately predicting function returns. Implementing the RAP helps alleviate some of these limitations by focusing on `jalr` return predictions. However, for broader applicability, a specialized mechanism that tracks frequently called functions in a table might enhance prediction accuracy, especially for high-frequency `jalr` targets.</w:t>
      </w:r>
    </w:p>
    <w:p>
      <w:pPr>
        <w:pStyle w:val="Heading2"/>
        <w:numPr>
          <w:ilvl w:val="1"/>
          <w:numId w:val="28"/>
        </w:numPr>
        <w:rPr/>
      </w:pPr>
      <w:r>
        <w:rPr>
          <w:rFonts w:eastAsia="MS Mincho" w:cs="Times New Roman"/>
          <w:i/>
          <w:iCs/>
          <w:color w:val="auto"/>
          <w:kern w:val="0"/>
          <w:sz w:val="20"/>
          <w:szCs w:val="20"/>
          <w:lang w:val="en-US" w:eastAsia="en-US" w:bidi="ar-SA"/>
        </w:rPr>
        <w:t>RAP Integration and Performance Impact</w:t>
      </w:r>
    </w:p>
    <w:p>
      <w:pPr>
        <w:pStyle w:val="TextBody"/>
        <w:numPr>
          <w:ilvl w:val="0"/>
          <w:numId w:val="0"/>
        </w:numPr>
        <w:spacing w:before="120" w:after="80"/>
        <w:ind w:left="0" w:right="0" w:hanging="0"/>
        <w:rPr/>
      </w:pPr>
      <w:r>
        <w:rPr>
          <w:rFonts w:eastAsia="MS Mincho" w:cs="Times New Roman"/>
          <w:i/>
          <w:iCs/>
          <w:color w:val="auto"/>
          <w:spacing w:val="-1"/>
          <w:kern w:val="0"/>
          <w:sz w:val="20"/>
          <w:szCs w:val="20"/>
          <w:lang w:val="en-US" w:eastAsia="en-US" w:bidi="ar-SA"/>
        </w:rPr>
        <w:tab/>
      </w:r>
      <w:r>
        <w:rPr>
          <w:rFonts w:eastAsia="MS Mincho" w:cs="Times New Roman"/>
          <w:i w:val="false"/>
          <w:iCs w:val="false"/>
          <w:color w:val="auto"/>
          <w:spacing w:val="-1"/>
          <w:kern w:val="0"/>
          <w:sz w:val="20"/>
          <w:szCs w:val="20"/>
          <w:lang w:val="en-US" w:eastAsia="en-US" w:bidi="ar-SA"/>
        </w:rPr>
        <w:t>Tables IV and V compare CoreMark scores and hit rates before and after RAP integration. With the RAP enabled, the CoreMark score shows a modest increase. Although the improvement is limited, this may be due to a low proportion of predictable `jalr` instructions in the benchmark or possible connection errors in the RAP implementation. Additionally, the RAP’s hit rate is comparable to that of the BPU, but it specifically reduces mispredictions for `jalr` instructions, thus mitigating performance losses associated with these returns. By maintaining accurate return addresses through the RAS and BS, the RAP reduces penalties from incorrect return predictions.</w:t>
      </w:r>
    </w:p>
    <w:p>
      <w:pPr>
        <w:pStyle w:val="Heading2"/>
        <w:numPr>
          <w:ilvl w:val="1"/>
          <w:numId w:val="29"/>
        </w:numPr>
        <w:rPr/>
      </w:pPr>
      <w:r>
        <w:rPr>
          <w:rFonts w:eastAsia="MS Mincho" w:cs="Times New Roman"/>
          <w:i/>
          <w:iCs/>
          <w:color w:val="auto"/>
          <w:kern w:val="0"/>
          <w:sz w:val="20"/>
          <w:szCs w:val="20"/>
          <w:lang w:val="en-US" w:eastAsia="en-US" w:bidi="ar-SA"/>
        </w:rPr>
        <w:t>Hit Rate Analysis</w:t>
      </w:r>
    </w:p>
    <w:p>
      <w:pPr>
        <w:pStyle w:val="TextBody"/>
        <w:numPr>
          <w:ilvl w:val="0"/>
          <w:numId w:val="0"/>
        </w:numPr>
        <w:spacing w:before="120" w:after="80"/>
        <w:ind w:left="0" w:right="0" w:hanging="0"/>
        <w:rPr/>
      </w:pPr>
      <w:r>
        <w:rPr>
          <w:rStyle w:val="StrongEmphasis"/>
          <w:rFonts w:eastAsia="MS Mincho" w:cs="Times New Roman"/>
          <w:b/>
          <w:bCs/>
          <w:i/>
          <w:iCs/>
          <w:color w:val="auto"/>
          <w:spacing w:val="-1"/>
          <w:kern w:val="0"/>
          <w:sz w:val="20"/>
          <w:szCs w:val="20"/>
          <w:lang w:val="en-US" w:eastAsia="en-US" w:bidi="ar-SA"/>
        </w:rPr>
        <w:t xml:space="preserve"> </w:t>
      </w:r>
      <w:r>
        <w:rPr>
          <w:rStyle w:val="StrongEmphasis"/>
          <w:rFonts w:eastAsia="MS Mincho" w:cs="Times New Roman"/>
          <w:b/>
          <w:bCs/>
          <w:i w:val="false"/>
          <w:iCs w:val="false"/>
          <w:color w:val="auto"/>
          <w:spacing w:val="-1"/>
          <w:kern w:val="0"/>
          <w:sz w:val="20"/>
          <w:szCs w:val="20"/>
          <w:lang w:val="en-US" w:eastAsia="en-US" w:bidi="ar-SA"/>
        </w:rPr>
        <w:t xml:space="preserve"> </w:t>
      </w:r>
      <w:r>
        <w:rPr>
          <w:rFonts w:eastAsia="MS Mincho" w:cs="Times New Roman"/>
          <w:i w:val="false"/>
          <w:iCs w:val="false"/>
          <w:color w:val="auto"/>
          <w:spacing w:val="-1"/>
          <w:kern w:val="0"/>
          <w:sz w:val="20"/>
          <w:szCs w:val="20"/>
          <w:lang w:val="en-US" w:eastAsia="en-US" w:bidi="ar-SA"/>
        </w:rPr>
        <w:t>The findings indicate areas for further enhancement in both the BPU and RAP designs:</w:t>
      </w:r>
    </w:p>
    <w:p>
      <w:pPr>
        <w:pStyle w:val="TextBody"/>
        <w:numPr>
          <w:ilvl w:val="0"/>
          <w:numId w:val="0"/>
        </w:numPr>
        <w:spacing w:before="120" w:after="80"/>
        <w:ind w:left="0" w:right="0" w:hanging="0"/>
        <w:rPr/>
      </w:pPr>
      <w:r>
        <w:rPr>
          <w:rFonts w:eastAsia="MS Mincho" w:cs="Times New Roman"/>
          <w:i w:val="false"/>
          <w:iCs w:val="false"/>
          <w:color w:val="auto"/>
          <w:spacing w:val="-1"/>
          <w:kern w:val="0"/>
          <w:sz w:val="20"/>
          <w:szCs w:val="20"/>
          <w:lang w:val="en-US" w:eastAsia="en-US" w:bidi="ar-SA"/>
        </w:rPr>
        <w:t>1. Optimizing the BPU Prediction Model: A potential improvement for the BPU could involve separating conditional branch handling from `jal` predictions, using tailored algorithms for each. Moreover, rather than relying solely on a 2-bit predictor, more sophisticated logic could be introduced, such as loop detection mechanisms that reduce misses in repetitive structures. This approach would ensure accurate predictions beyond simple branch conditions.</w:t>
      </w:r>
    </w:p>
    <w:p>
      <w:pPr>
        <w:pStyle w:val="TextBody"/>
        <w:numPr>
          <w:ilvl w:val="0"/>
          <w:numId w:val="0"/>
        </w:numPr>
        <w:spacing w:before="120" w:after="80"/>
        <w:ind w:left="0" w:right="0" w:hanging="0"/>
        <w:rPr/>
      </w:pPr>
      <w:r>
        <w:rPr>
          <w:rFonts w:eastAsia="MS Mincho" w:cs="Times New Roman"/>
          <w:i w:val="false"/>
          <w:iCs w:val="false"/>
          <w:color w:val="auto"/>
          <w:spacing w:val="-1"/>
          <w:kern w:val="0"/>
          <w:sz w:val="20"/>
          <w:szCs w:val="20"/>
          <w:lang w:val="en-US" w:eastAsia="en-US" w:bidi="ar-SA"/>
        </w:rPr>
        <w:t>2. Enhancing RAP Functionality: While the RAP effectively targets `jalr` instructions, there is room to expand its scope. Addressing potential issues in push and pop mechanisms could improve prediction efficiency. Additionally, a more comprehensive RAP design could consider frequently called function addresses, maintaining them in a dedicated table for quick access. This approach would preemptively predict return addresses for functions with high jump frequencies, reducing lookup time and enhancing overall prediction accuracy.</w:t>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sectPr>
      <w:type w:val="continuous"/>
      <w:pgSz w:w="11906" w:h="16838"/>
      <w:pgMar w:left="734" w:right="734" w:gutter="0" w:header="0" w:top="1080" w:footer="0" w:bottom="24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8">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Heading1">
    <w:name w:val="Heading 1"/>
    <w:basedOn w:val="Normal"/>
    <w:next w:val="Normal"/>
    <w:link w:val="1"/>
    <w:qFormat/>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2"/>
    <w:qFormat/>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3"/>
    <w:qFormat/>
    <w:pPr>
      <w:numPr>
        <w:ilvl w:val="2"/>
        <w:numId w:val="6"/>
      </w:numPr>
      <w:spacing w:lineRule="exact" w:line="240"/>
      <w:ind w:left="0" w:right="0" w:firstLine="288"/>
      <w:jc w:val="both"/>
      <w:outlineLvl w:val="2"/>
    </w:pPr>
    <w:rPr>
      <w:rFonts w:eastAsia="MS Mincho"/>
      <w:i/>
      <w:iCs/>
    </w:rPr>
  </w:style>
  <w:style w:type="paragraph" w:styleId="Heading4">
    <w:name w:val="Heading 4"/>
    <w:basedOn w:val="Normal"/>
    <w:next w:val="Normal"/>
    <w:link w:val="4"/>
    <w:qFormat/>
    <w:pPr>
      <w:numPr>
        <w:ilvl w:val="3"/>
        <w:numId w:val="7"/>
      </w:numPr>
      <w:tabs>
        <w:tab w:val="clear" w:pos="720"/>
        <w:tab w:val="left" w:pos="821" w:leader="none"/>
      </w:tabs>
      <w:spacing w:before="40" w:after="40"/>
      <w:ind w:left="0" w:right="0" w:firstLine="504"/>
      <w:jc w:val="both"/>
      <w:outlineLvl w:val="3"/>
    </w:pPr>
    <w:rPr>
      <w:rFonts w:eastAsia="MS Mincho"/>
      <w:i/>
      <w:iCs/>
    </w:rPr>
  </w:style>
  <w:style w:type="paragraph" w:styleId="Heading5">
    <w:name w:val="Heading 5"/>
    <w:basedOn w:val="Normal"/>
    <w:next w:val="Normal"/>
    <w:link w:val="5"/>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1">
    <w:name w:val="標題 1 字元"/>
    <w:basedOn w:val="DefaultParagraphFont"/>
    <w:link w:val="Heading1"/>
    <w:qFormat/>
    <w:rPr>
      <w:rFonts w:ascii="Cambria" w:hAnsi="Cambria" w:eastAsia="Times New Roman" w:cs="Times New Roman"/>
      <w:b/>
      <w:bCs/>
      <w:kern w:val="2"/>
      <w:sz w:val="32"/>
      <w:szCs w:val="32"/>
    </w:rPr>
  </w:style>
  <w:style w:type="character" w:styleId="2">
    <w:name w:val="標題 2 字元"/>
    <w:basedOn w:val="DefaultParagraphFont"/>
    <w:link w:val="Heading2"/>
    <w:qFormat/>
    <w:rPr>
      <w:rFonts w:ascii="Times New Roman" w:hAnsi="Times New Roman" w:eastAsia="MS Mincho" w:cs="Times New Roman"/>
      <w:i/>
      <w:iCs/>
      <w:sz w:val="20"/>
      <w:szCs w:val="20"/>
    </w:rPr>
  </w:style>
  <w:style w:type="character" w:styleId="3">
    <w:name w:val="標題 3 字元"/>
    <w:basedOn w:val="DefaultParagraphFont"/>
    <w:link w:val="Heading3"/>
    <w:qFormat/>
    <w:rPr>
      <w:rFonts w:ascii="Times New Roman" w:hAnsi="Times New Roman" w:eastAsia="MS Mincho" w:cs="Times New Roman"/>
      <w:i/>
      <w:iCs/>
      <w:sz w:val="20"/>
      <w:szCs w:val="20"/>
    </w:rPr>
  </w:style>
  <w:style w:type="character" w:styleId="4">
    <w:name w:val="標題 4 字元"/>
    <w:basedOn w:val="DefaultParagraphFont"/>
    <w:link w:val="Heading4"/>
    <w:qFormat/>
    <w:rPr>
      <w:rFonts w:ascii="Times New Roman" w:hAnsi="Times New Roman" w:eastAsia="MS Mincho" w:cs="Times New Roman"/>
      <w:i/>
      <w:iCs/>
      <w:sz w:val="20"/>
      <w:szCs w:val="20"/>
    </w:rPr>
  </w:style>
  <w:style w:type="character" w:styleId="5">
    <w:name w:val="標題 5 字元"/>
    <w:basedOn w:val="DefaultParagraphFont"/>
    <w:link w:val="Heading5"/>
    <w:qFormat/>
    <w:rPr>
      <w:rFonts w:cs="Times New Roman"/>
      <w:b/>
      <w:bCs/>
      <w:i/>
      <w:iCs/>
      <w:sz w:val="26"/>
      <w:szCs w:val="26"/>
    </w:rPr>
  </w:style>
  <w:style w:type="character" w:styleId="Style9">
    <w:name w:val="本文 字元"/>
    <w:basedOn w:val="DefaultParagraphFont"/>
    <w:qFormat/>
    <w:rPr>
      <w:rFonts w:ascii="Times New Roman" w:hAnsi="Times New Roman" w:eastAsia="MS Mincho" w:cs="Times New Roman"/>
      <w:sz w:val="20"/>
      <w:szCs w:val="20"/>
    </w:rPr>
  </w:style>
  <w:style w:type="character" w:styleId="SourceText">
    <w:name w:val="Source Text"/>
    <w:qFormat/>
    <w:rPr>
      <w:rFonts w:ascii="Liberation Mono" w:hAnsi="Liberation Mono" w:eastAsia="Noto Sans Mono CJK TC" w:cs="Liberation Mono"/>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pPr>
      <w:tabs>
        <w:tab w:val="clear" w:pos="720"/>
        <w:tab w:val="left" w:pos="288" w:leader="none"/>
      </w:tabs>
      <w:spacing w:lineRule="auto" w:line="228" w:before="0" w:after="120"/>
      <w:ind w:left="0" w:right="0"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name w:val="Abstract"/>
    <w:qFormat/>
    <w:pPr>
      <w:widowControl/>
      <w:suppressAutoHyphens w:val="true"/>
      <w:overflowPunct w:val="false"/>
      <w:bidi w:val="0"/>
      <w:spacing w:before="0" w:after="200"/>
      <w:ind w:left="0" w:right="0" w:firstLine="274"/>
      <w:jc w:val="both"/>
    </w:pPr>
    <w:rPr>
      <w:rFonts w:ascii="Times New Roman" w:hAnsi="Times New Roman" w:eastAsia="新細明體" w:cs="Times New Roman"/>
      <w:b/>
      <w:bCs/>
      <w:color w:val="auto"/>
      <w:kern w:val="0"/>
      <w:sz w:val="18"/>
      <w:szCs w:val="18"/>
      <w:lang w:val="en-US" w:eastAsia="en-US" w:bidi="ar-SA"/>
    </w:rPr>
  </w:style>
  <w:style w:type="paragraph" w:styleId="Affiliation">
    <w:name w:val="Affiliation"/>
    <w:qFormat/>
    <w:pPr>
      <w:widowControl/>
      <w:suppressAutoHyphens w:val="true"/>
      <w:overflowPunct w:val="fals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Author">
    <w:name w:val="Author"/>
    <w:qFormat/>
    <w:pPr>
      <w:widowControl/>
      <w:suppressAutoHyphens w:val="true"/>
      <w:overflowPunct w:val="false"/>
      <w:bidi w:val="0"/>
      <w:spacing w:before="360" w:after="40"/>
      <w:jc w:val="center"/>
    </w:pPr>
    <w:rPr>
      <w:rFonts w:ascii="Times New Roman" w:hAnsi="Times New Roman" w:eastAsia="新細明體" w:cs="Times New Roman"/>
      <w:color w:val="auto"/>
      <w:kern w:val="0"/>
      <w:sz w:val="22"/>
      <w:szCs w:val="22"/>
      <w:lang w:val="en-US" w:eastAsia="en-US" w:bidi="ar-SA"/>
    </w:rPr>
  </w:style>
  <w:style w:type="paragraph" w:styleId="Bulletlist">
    <w:name w:val="bullet list"/>
    <w:basedOn w:val="TextBody"/>
    <w:qFormat/>
    <w:pPr>
      <w:numPr>
        <w:ilvl w:val="0"/>
        <w:numId w:val="1"/>
      </w:numPr>
      <w:ind w:left="576" w:right="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2"/>
      </w:numPr>
      <w:tabs>
        <w:tab w:val="clear" w:pos="720"/>
        <w:tab w:val="left" w:pos="533" w:leader="none"/>
      </w:tabs>
      <w:suppressAutoHyphens w:val="true"/>
      <w:overflowPunct w:val="false"/>
      <w:bidi w:val="0"/>
      <w:spacing w:before="80" w:after="200"/>
      <w:ind w:left="0" w:right="0" w:hanging="0"/>
      <w:jc w:val="both"/>
    </w:pPr>
    <w:rPr>
      <w:rFonts w:ascii="Times New Roman" w:hAnsi="Times New Roman" w:eastAsia="新細明體" w:cs="Times New Roman"/>
      <w:color w:val="auto"/>
      <w:kern w:val="0"/>
      <w:sz w:val="16"/>
      <w:szCs w:val="16"/>
      <w:lang w:val="en-US" w:eastAsia="en-US" w:bidi="ar-SA"/>
    </w:rPr>
  </w:style>
  <w:style w:type="paragraph" w:styleId="Footnote">
    <w:name w:val="footnote"/>
    <w:qFormat/>
    <w:pPr>
      <w:widowControl/>
      <w:numPr>
        <w:ilvl w:val="0"/>
        <w:numId w:val="3"/>
      </w:numPr>
      <w:suppressAutoHyphens w:val="true"/>
      <w:overflowPunct w:val="false"/>
      <w:bidi w:val="0"/>
      <w:spacing w:before="0" w:after="40"/>
      <w:jc w:val="left"/>
    </w:pPr>
    <w:rPr>
      <w:rFonts w:ascii="Times New Roman" w:hAnsi="Times New Roman" w:eastAsia="新細明體" w:cs="Times New Roman"/>
      <w:color w:val="auto"/>
      <w:kern w:val="0"/>
      <w:sz w:val="16"/>
      <w:szCs w:val="16"/>
      <w:lang w:val="en-US" w:eastAsia="en-US" w:bidi="ar-SA"/>
    </w:rPr>
  </w:style>
  <w:style w:type="paragraph" w:styleId="Keywords">
    <w:name w:val="key words"/>
    <w:qFormat/>
    <w:pPr>
      <w:widowControl/>
      <w:suppressAutoHyphens w:val="true"/>
      <w:overflowPunct w:val="false"/>
      <w:bidi w:val="0"/>
      <w:spacing w:before="0" w:after="120"/>
      <w:ind w:left="0" w:right="0" w:firstLine="274"/>
      <w:jc w:val="both"/>
    </w:pPr>
    <w:rPr>
      <w:rFonts w:ascii="Times New Roman" w:hAnsi="Times New Roman" w:eastAsia="新細明體" w:cs="Times New Roman"/>
      <w:b/>
      <w:bCs/>
      <w:i/>
      <w:iCs/>
      <w:color w:val="auto"/>
      <w:kern w:val="0"/>
      <w:sz w:val="18"/>
      <w:szCs w:val="18"/>
      <w:lang w:val="en-US" w:eastAsia="en-US" w:bidi="ar-SA"/>
    </w:rPr>
  </w:style>
  <w:style w:type="paragraph" w:styleId="Papersubtitle">
    <w:name w:val="paper subtitle"/>
    <w:qFormat/>
    <w:pPr>
      <w:widowControl/>
      <w:suppressAutoHyphens w:val="true"/>
      <w:overflowPunct w:val="false"/>
      <w:bidi w:val="0"/>
      <w:spacing w:before="0" w:after="120"/>
      <w:jc w:val="center"/>
    </w:pPr>
    <w:rPr>
      <w:rFonts w:ascii="Times New Roman" w:hAnsi="Times New Roman" w:eastAsia="新細明體" w:cs="Times New Roman"/>
      <w:bCs/>
      <w:color w:val="auto"/>
      <w:kern w:val="0"/>
      <w:sz w:val="28"/>
      <w:szCs w:val="28"/>
      <w:lang w:val="en-US" w:eastAsia="en-US" w:bidi="ar-SA"/>
    </w:rPr>
  </w:style>
  <w:style w:type="paragraph" w:styleId="Papertitle">
    <w:name w:val="paper title"/>
    <w:qFormat/>
    <w:pPr>
      <w:widowControl/>
      <w:suppressAutoHyphens w:val="true"/>
      <w:overflowPunct w:val="false"/>
      <w:bidi w:val="0"/>
      <w:spacing w:before="0" w:after="120"/>
      <w:jc w:val="center"/>
    </w:pPr>
    <w:rPr>
      <w:rFonts w:ascii="Times New Roman" w:hAnsi="Times New Roman" w:eastAsia="新細明體" w:cs="Times New Roman"/>
      <w:bCs/>
      <w:color w:val="auto"/>
      <w:kern w:val="0"/>
      <w:sz w:val="48"/>
      <w:szCs w:val="48"/>
      <w:lang w:val="en-US" w:eastAsia="en-US" w:bidi="ar-SA"/>
    </w:rPr>
  </w:style>
  <w:style w:type="paragraph" w:styleId="References">
    <w:name w:val="references"/>
    <w:qFormat/>
    <w:pPr>
      <w:widowControl/>
      <w:numPr>
        <w:ilvl w:val="0"/>
        <w:numId w:val="8"/>
      </w:numPr>
      <w:suppressAutoHyphens w:val="true"/>
      <w:overflowPunct w:val="false"/>
      <w:bidi w:val="0"/>
      <w:spacing w:lineRule="exact" w:line="180" w:before="0" w:after="50"/>
      <w:jc w:val="both"/>
    </w:pPr>
    <w:rPr>
      <w:rFonts w:ascii="Times New Roman" w:hAnsi="Times New Roman" w:eastAsia="新細明體"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overflowPunct w:val="false"/>
      <w:bidi w:val="0"/>
      <w:spacing w:before="0" w:after="0"/>
      <w:ind w:left="0" w:right="0" w:firstLine="288"/>
      <w:jc w:val="left"/>
    </w:pPr>
    <w:rPr>
      <w:rFonts w:ascii="Times New Roman" w:hAnsi="Times New Roman" w:eastAsia="新細明體"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overflowPunct w:val="false"/>
      <w:bidi w:val="0"/>
      <w:spacing w:before="0" w:after="0"/>
      <w:jc w:val="both"/>
    </w:pPr>
    <w:rPr>
      <w:rFonts w:ascii="Times New Roman" w:hAnsi="Times New Roman" w:eastAsia="新細明體" w:cs="Times New Roman"/>
      <w:color w:val="auto"/>
      <w:kern w:val="0"/>
      <w:sz w:val="16"/>
      <w:szCs w:val="16"/>
      <w:lang w:val="en-US" w:eastAsia="en-US" w:bidi="ar-SA"/>
    </w:rPr>
  </w:style>
  <w:style w:type="paragraph" w:styleId="Tablefootnote">
    <w:name w:val="table footnote"/>
    <w:qFormat/>
    <w:pPr>
      <w:widowControl/>
      <w:numPr>
        <w:ilvl w:val="0"/>
        <w:numId w:val="10"/>
      </w:numPr>
      <w:tabs>
        <w:tab w:val="clear" w:pos="720"/>
        <w:tab w:val="left" w:pos="29" w:leader="none"/>
      </w:tabs>
      <w:suppressAutoHyphens w:val="true"/>
      <w:overflowPunct w:val="false"/>
      <w:bidi w:val="0"/>
      <w:spacing w:before="60" w:after="30"/>
      <w:ind w:left="360" w:right="0" w:hanging="0"/>
      <w:jc w:val="right"/>
    </w:pPr>
    <w:rPr>
      <w:rFonts w:ascii="Times New Roman" w:hAnsi="Times New Roman" w:eastAsia="MS Mincho" w:cs="Times New Roman"/>
      <w:color w:val="auto"/>
      <w:kern w:val="0"/>
      <w:sz w:val="12"/>
      <w:szCs w:val="12"/>
      <w:lang w:val="en-US" w:eastAsia="en-US" w:bidi="ar-SA"/>
    </w:rPr>
  </w:style>
  <w:style w:type="paragraph" w:styleId="Tablehead">
    <w:name w:val="table head"/>
    <w:qFormat/>
    <w:pPr>
      <w:widowControl/>
      <w:numPr>
        <w:ilvl w:val="0"/>
        <w:numId w:val="9"/>
      </w:numPr>
      <w:suppressAutoHyphens w:val="true"/>
      <w:overflowPunct w:val="false"/>
      <w:bidi w:val="0"/>
      <w:spacing w:lineRule="auto" w:line="216" w:before="240" w:after="120"/>
      <w:jc w:val="center"/>
    </w:pPr>
    <w:rPr>
      <w:rFonts w:ascii="Times New Roman" w:hAnsi="Times New Roman" w:eastAsia="新細明體" w:cs="Times New Roman"/>
      <w:smallCaps/>
      <w:color w:val="auto"/>
      <w:kern w:val="0"/>
      <w:sz w:val="16"/>
      <w:szCs w:val="16"/>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265</TotalTime>
  <Application>LibreOffice/7.3.7.2$Linux_X86_64 LibreOffice_project/30$Build-2</Application>
  <AppVersion>15.0000</AppVersion>
  <Pages>3</Pages>
  <Words>1839</Words>
  <Characters>10798</Characters>
  <CharactersWithSpaces>12499</CharactersWithSpaces>
  <Paragraphs>131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2013-10-11T00:15:00Z</dcterms:created>
  <dc:creator>IEEE</dc:creator>
  <dc:description/>
  <dc:language>en-US</dc:language>
  <cp:lastModifiedBy/>
  <dcterms:modified xsi:type="dcterms:W3CDTF">2024-11-01T19:52:24Z</dcterms:modified>
  <cp:revision>64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