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rFonts w:eastAsia="MS Mincho"/>
        </w:rPr>
      </w:pPr>
      <w:r>
        <w:rPr>
          <w:bCs/>
          <w:sz w:val="48"/>
          <w:szCs w:val="48"/>
          <w:lang w:eastAsia="zh-TW"/>
        </w:rPr>
        <w:t xml:space="preserve">HW3 Cache Optimization </w:t>
      </w:r>
    </w:p>
    <w:p>
      <w:pPr>
        <w:pStyle w:val="Normal"/>
        <w:rPr>
          <w:lang w:eastAsia="zh-TW"/>
        </w:rPr>
      </w:pPr>
      <w:r>
        <w:rPr>
          <w:rFonts w:ascii="Times New Roman" w:hAnsi="Times New Roman" w:eastAsia="MS Mincho"/>
          <w:lang w:eastAsia="en-US"/>
        </w:rPr>
        <w:t>郭宗信</w:t>
      </w:r>
      <w:r>
        <w:rPr>
          <w:lang w:eastAsia="zh-TW"/>
        </w:rPr>
        <w:t>, 111550105</w:t>
        <w:b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ffiliation"/>
        <w:jc w:val="both"/>
        <w:rPr>
          <w:lang w:eastAsia="zh-TW"/>
        </w:rPr>
      </w:pPr>
      <w:r>
        <w:rPr>
          <w:lang w:eastAsia="zh-TW"/>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rFonts w:eastAsia="MS Mincho"/>
        </w:rPr>
      </w:pPr>
      <w:r>
        <w:rPr>
          <w:rFonts w:eastAsia="MS Mincho"/>
          <w:i/>
          <w:iCs/>
        </w:rPr>
        <w:t>Abstract</w:t>
      </w:r>
      <w:r>
        <w:rPr>
          <w:rFonts w:eastAsia="MS Mincho"/>
        </w:rPr>
        <w:t>—This study focuses on optimizing the L1 data cache (D$) of the Aquila System-on-Chip (SoC) to improve the efficiency of π computation using Machin's formula. The baseline design, a 4-way set associative cache, was thoroughly analyzed to assess its hit/miss rates, latency, and resource utilization. The optimization process involved adjustments to cache associativity and replacement policies, with a particular emphasis on implementing a random and LRU replacement policy. This approach outperformed traditional FIFO</w:t>
      </w:r>
      <w:r>
        <w:rPr>
          <w:rFonts w:eastAsia="MS Mincho" w:cs="Times New Roman"/>
          <w:b/>
          <w:bCs/>
          <w:color w:val="auto"/>
          <w:kern w:val="0"/>
          <w:sz w:val="18"/>
          <w:szCs w:val="18"/>
          <w:lang w:val="en-US" w:eastAsia="en-US" w:bidi="ar-SA"/>
        </w:rPr>
        <w:t xml:space="preserve"> </w:t>
      </w:r>
      <w:r>
        <w:rPr>
          <w:rFonts w:eastAsia="MS Mincho"/>
        </w:rPr>
        <w:t>strateg</w:t>
      </w:r>
      <w:r>
        <w:rPr>
          <w:rFonts w:eastAsia="MS Mincho" w:cs="Times New Roman"/>
          <w:b/>
          <w:bCs/>
          <w:color w:val="auto"/>
          <w:kern w:val="0"/>
          <w:sz w:val="18"/>
          <w:szCs w:val="18"/>
          <w:lang w:val="en-US" w:eastAsia="en-US" w:bidi="ar-SA"/>
        </w:rPr>
        <w:t>y</w:t>
      </w:r>
      <w:r>
        <w:rPr>
          <w:rFonts w:eastAsia="MS Mincho"/>
        </w:rPr>
        <w:t xml:space="preserve"> in terms of overall performance. However, reducing associativity was found to have a limited impact on the computation time for π. Future work will explore the integration of prefetching mechanisms and dynamic cache designs to further enhance performance and adaptability for a wider range of workloads.</w:t>
      </w:r>
    </w:p>
    <w:p>
      <w:pPr>
        <w:pStyle w:val="Keywords"/>
        <w:rPr>
          <w:rFonts w:eastAsia="MS Mincho"/>
        </w:rPr>
      </w:pPr>
      <w:r>
        <w:rPr>
          <w:rFonts w:eastAsia="MS Mincho"/>
        </w:rPr>
        <w:t>Keywords—</w:t>
      </w:r>
      <w:r>
        <w:rPr/>
        <w:t>Data Cache Optimization; Cache Associativity;Replacement Policies; FPGA-based SoC;Random Replacement Policy;</w:t>
      </w:r>
    </w:p>
    <w:p>
      <w:pPr>
        <w:pStyle w:val="Heading1"/>
        <w:numPr>
          <w:ilvl w:val="0"/>
          <w:numId w:val="4"/>
        </w:numPr>
        <w:rPr>
          <w:rFonts w:eastAsia="MS Mincho"/>
        </w:rPr>
      </w:pPr>
      <w:r>
        <w:rPr>
          <w:rFonts w:eastAsia="MS Mincho"/>
        </w:rPr>
        <w:t xml:space="preserve"> </w:t>
      </w:r>
      <w:r>
        <w:rPr>
          <w:rFonts w:eastAsia="MS Mincho"/>
        </w:rPr>
        <w:t>Introduction</w:t>
      </w:r>
    </w:p>
    <w:p>
      <w:pPr>
        <w:pStyle w:val="TextBody"/>
        <w:rPr/>
      </w:pPr>
      <w:r>
        <w:rPr/>
        <w:t>The performance of FPGA-based System-on-Chip (SoC) architectures is closely tied to the efficiency of their memory hierarchies.</w:t>
      </w:r>
    </w:p>
    <w:p>
      <w:pPr>
        <w:pStyle w:val="TextBody"/>
        <w:rPr/>
      </w:pPr>
      <w:r>
        <w:rPr/>
        <w:t xml:space="preserve"> </w:t>
      </w:r>
      <w:r>
        <w:rPr/>
        <w:t>This work focuses on optimizing the L1 data cache</w:t>
      </w:r>
      <w:r>
        <w:rPr>
          <w:rFonts w:eastAsia="MS Mincho" w:cs="Times New Roman"/>
          <w:color w:val="auto"/>
          <w:spacing w:val="-1"/>
          <w:kern w:val="0"/>
          <w:sz w:val="20"/>
          <w:szCs w:val="20"/>
          <w:lang w:val="en-US" w:eastAsia="en-US" w:bidi="ar-SA"/>
        </w:rPr>
        <w:t xml:space="preserve"> </w:t>
      </w:r>
      <w:r>
        <w:rPr/>
        <w:t>for π computation. The baseline 4-way set associative cache was analyzed for hit/miss rates, latency, and resource utilization to identify optimization opportunities. Key contributions include the implementation and evaluation of replacement policies, specifically LRU and Random, with the latter demonstrating superior adaptability and performance compared to traditional FIFO strateg</w:t>
      </w:r>
      <w:r>
        <w:rPr>
          <w:rFonts w:eastAsia="MS Mincho" w:cs="Times New Roman"/>
          <w:color w:val="auto"/>
          <w:spacing w:val="-1"/>
          <w:kern w:val="0"/>
          <w:sz w:val="20"/>
          <w:szCs w:val="20"/>
          <w:lang w:val="en-US" w:eastAsia="en-US" w:bidi="ar-SA"/>
        </w:rPr>
        <w:t>y</w:t>
      </w:r>
      <w:r>
        <w:rPr/>
        <w:t xml:space="preserve">. Experiments on varying associativity levels (2-way, 4-way, and 8-way) revealed that changes in associativity had limited impact on computation time for π, while replacement policies significantly influenced cache performance. The </w:t>
      </w:r>
      <w:r>
        <w:rPr>
          <w:rFonts w:eastAsia="MS Mincho" w:cs="Times New Roman"/>
          <w:color w:val="auto"/>
          <w:spacing w:val="-1"/>
          <w:kern w:val="0"/>
          <w:sz w:val="20"/>
          <w:szCs w:val="20"/>
          <w:lang w:val="en-US" w:eastAsia="en-US" w:bidi="ar-SA"/>
        </w:rPr>
        <w:t>LRU</w:t>
      </w:r>
      <w:r>
        <w:rPr/>
        <w:t xml:space="preserve"> replacement policy optimized hit rates and reduced latency more effectively than other strategies. These findings highlight the potential of replacement policy modifications in enhancing cache performance, establishing a basis for future exploration into advanced optimization techniques such as prefetching and dynamic replacement policies to improve SoC adaptability and efficiency.</w:t>
      </w:r>
    </w:p>
    <w:p>
      <w:pPr>
        <w:pStyle w:val="TextBody"/>
        <w:rPr/>
      </w:pPr>
      <w:r>
        <w:rPr/>
      </w:r>
    </w:p>
    <w:p>
      <w:pPr>
        <w:pStyle w:val="Heading1"/>
        <w:numPr>
          <w:ilvl w:val="0"/>
          <w:numId w:val="4"/>
        </w:numPr>
        <w:rPr>
          <w:rFonts w:eastAsia="MS Mincho"/>
        </w:rPr>
      </w:pPr>
      <w:r>
        <w:rPr/>
        <w:t>System Description</w:t>
      </w:r>
    </w:p>
    <w:p>
      <w:pPr>
        <w:pStyle w:val="Heading2"/>
        <w:numPr>
          <w:ilvl w:val="1"/>
          <w:numId w:val="22"/>
        </w:numPr>
        <w:rPr/>
      </w:pPr>
      <w:r>
        <w:rPr/>
        <w:t>Description</w:t>
      </w:r>
    </w:p>
    <w:p>
      <w:pPr>
        <w:pStyle w:val="TextBody"/>
        <w:rPr/>
      </w:pPr>
      <w:r>
        <w:rPr/>
        <w:t>The implementation leverages a modular Verilog cache design (</w:t>
      </w:r>
      <w:r>
        <w:rPr>
          <w:rFonts w:ascii="SFMono-Regular;Menlo;Consolas;PT Mono;Liberation Mono;Courier;monospace" w:hAnsi="SFMono-Regular;Menlo;Consolas;PT Mono;Liberation Mono;Courier;monospace"/>
        </w:rPr>
        <w:t>dcache.v</w:t>
      </w:r>
      <w:r>
        <w:rPr/>
        <w:t>) and a C program (</w:t>
      </w:r>
      <w:r>
        <w:rPr>
          <w:rFonts w:ascii="SFMono-Regular;Menlo;Consolas;PT Mono;Liberation Mono;Courier;monospace" w:hAnsi="SFMono-Regular;Menlo;Consolas;PT Mono;Liberation Mono;Courier;monospace"/>
        </w:rPr>
        <w:t>pi.c</w:t>
      </w:r>
      <w:r>
        <w:rPr/>
        <w:t xml:space="preserve">) to generate the workload. </w:t>
      </w:r>
    </w:p>
    <w:p>
      <w:pPr>
        <w:pStyle w:val="TextBody"/>
        <w:rPr/>
      </w:pPr>
      <w:r>
        <w:rPr/>
        <w:t>This study utilizes the Aquila System-on-Chip (SoC) as the experimental platform, featuring a configurable L1 data cache (D$). The cache design serves as a critical component for evaluating the performance of memory-intensive computations, such as π calculation using Machin's formula.</w:t>
      </w:r>
    </w:p>
    <w:p>
      <w:pPr>
        <w:pStyle w:val="Heading2"/>
        <w:numPr>
          <w:ilvl w:val="1"/>
          <w:numId w:val="23"/>
        </w:numPr>
        <w:rPr/>
      </w:pPr>
      <w:r>
        <w:rPr/>
        <w:t>Cache Configuration</w:t>
      </w:r>
    </w:p>
    <w:p>
      <w:pPr>
        <w:pStyle w:val="TextBody"/>
        <w:rPr/>
      </w:pPr>
      <w:r>
        <w:rPr/>
        <w:t>The baseline cache design includes the following key characteristics:</w:t>
      </w:r>
    </w:p>
    <w:p>
      <w:pPr>
        <w:pStyle w:val="TextBody"/>
        <w:numPr>
          <w:ilvl w:val="0"/>
          <w:numId w:val="20"/>
        </w:numPr>
        <w:tabs>
          <w:tab w:val="clear" w:pos="288"/>
          <w:tab w:val="left" w:pos="0" w:leader="none"/>
        </w:tabs>
        <w:spacing w:before="0" w:after="0"/>
        <w:ind w:left="709" w:firstLine="5"/>
        <w:rPr/>
      </w:pPr>
      <w:r>
        <w:rPr>
          <w:rStyle w:val="StrongEmphasis"/>
        </w:rPr>
        <w:t>Cache Size</w:t>
      </w:r>
      <w:r>
        <w:rPr/>
        <w:t xml:space="preserve">: 4 KB </w:t>
      </w:r>
    </w:p>
    <w:p>
      <w:pPr>
        <w:pStyle w:val="TextBody"/>
        <w:numPr>
          <w:ilvl w:val="0"/>
          <w:numId w:val="20"/>
        </w:numPr>
        <w:tabs>
          <w:tab w:val="clear" w:pos="288"/>
          <w:tab w:val="left" w:pos="0" w:leader="none"/>
        </w:tabs>
        <w:spacing w:before="0" w:after="0"/>
        <w:ind w:left="709" w:firstLine="5"/>
        <w:rPr/>
      </w:pPr>
      <w:r>
        <w:rPr>
          <w:rStyle w:val="StrongEmphasis"/>
        </w:rPr>
        <w:t>Associativity</w:t>
      </w:r>
      <w:r>
        <w:rPr/>
        <w:t xml:space="preserve">: 4-way set associative </w:t>
      </w:r>
    </w:p>
    <w:p>
      <w:pPr>
        <w:pStyle w:val="TextBody"/>
        <w:numPr>
          <w:ilvl w:val="0"/>
          <w:numId w:val="20"/>
        </w:numPr>
        <w:tabs>
          <w:tab w:val="clear" w:pos="288"/>
          <w:tab w:val="left" w:pos="0" w:leader="none"/>
        </w:tabs>
        <w:spacing w:before="0" w:after="0"/>
        <w:ind w:left="709" w:firstLine="5"/>
        <w:rPr/>
      </w:pPr>
      <w:r>
        <w:rPr>
          <w:rStyle w:val="StrongEmphasis"/>
        </w:rPr>
        <w:t>Replacement Policy</w:t>
      </w:r>
      <w:r>
        <w:rPr/>
        <w:t xml:space="preserve">: FIFO </w:t>
      </w:r>
    </w:p>
    <w:p>
      <w:pPr>
        <w:pStyle w:val="TextBody"/>
        <w:numPr>
          <w:ilvl w:val="0"/>
          <w:numId w:val="20"/>
        </w:numPr>
        <w:tabs>
          <w:tab w:val="clear" w:pos="288"/>
          <w:tab w:val="left" w:pos="0" w:leader="none"/>
        </w:tabs>
        <w:ind w:left="709" w:firstLine="5"/>
        <w:rPr/>
      </w:pPr>
      <w:r>
        <w:rPr>
          <w:rStyle w:val="StrongEmphasis"/>
        </w:rPr>
        <w:t>Data Block Size</w:t>
      </w:r>
      <w:r>
        <w:rPr/>
        <w:t xml:space="preserve">: 32 bytes </w:t>
      </w:r>
    </w:p>
    <w:p>
      <w:pPr>
        <w:pStyle w:val="Heading2"/>
        <w:numPr>
          <w:ilvl w:val="1"/>
          <w:numId w:val="24"/>
        </w:numPr>
        <w:ind w:hanging="0"/>
        <w:rPr/>
      </w:pPr>
      <w:r>
        <w:rPr>
          <w:rFonts w:eastAsia="MS Mincho" w:cs="Times New Roman"/>
          <w:color w:val="auto"/>
          <w:spacing w:val="-1"/>
          <w:kern w:val="0"/>
          <w:sz w:val="20"/>
          <w:szCs w:val="20"/>
          <w:lang w:val="en-US" w:eastAsia="en-US" w:bidi="ar-SA"/>
        </w:rPr>
        <w:t>Workload</w:t>
      </w:r>
    </w:p>
    <w:p>
      <w:pPr>
        <w:pStyle w:val="TextBody"/>
        <w:rPr/>
      </w:pPr>
      <w:r>
        <w:rPr/>
        <w:t>The workload for this study involves calculating π to 5000 decimal places using Machin's formula. The computation introduces a high volume of repeated memory accesses</w:t>
      </w:r>
      <w:r>
        <w:rPr>
          <w:rFonts w:eastAsia="MS Mincho" w:cs="Times New Roman"/>
          <w:color w:val="auto"/>
          <w:spacing w:val="-1"/>
          <w:kern w:val="0"/>
          <w:sz w:val="20"/>
          <w:szCs w:val="20"/>
          <w:lang w:val="en-US" w:eastAsia="en-US" w:bidi="ar-SA"/>
        </w:rPr>
        <w:t xml:space="preserve"> (read:36,282,622 write: 26,147,435)</w:t>
      </w:r>
      <w:r>
        <w:rPr/>
        <w:t>.</w:t>
      </w:r>
    </w:p>
    <w:p>
      <w:pPr>
        <w:pStyle w:val="Heading1"/>
        <w:numPr>
          <w:ilvl w:val="0"/>
          <w:numId w:val="4"/>
        </w:numPr>
        <w:rPr>
          <w:rFonts w:eastAsia="MS Mincho"/>
        </w:rPr>
      </w:pPr>
      <w:r>
        <w:rPr/>
        <w:t>Implementation</w:t>
      </w:r>
    </w:p>
    <w:p>
      <w:pPr>
        <w:pStyle w:val="TextBody"/>
        <w:rPr/>
      </w:pPr>
      <w:r>
        <w:rPr/>
        <w:t xml:space="preserve">This </w:t>
      </w:r>
      <w:r>
        <w:rPr>
          <w:rFonts w:eastAsia="MS Mincho" w:cs="Times New Roman"/>
          <w:color w:val="auto"/>
          <w:spacing w:val="-1"/>
          <w:kern w:val="0"/>
          <w:sz w:val="20"/>
          <w:szCs w:val="20"/>
          <w:lang w:val="en-US" w:eastAsia="en-US" w:bidi="ar-SA"/>
        </w:rPr>
        <w:t>part</w:t>
      </w:r>
      <w:r>
        <w:rPr/>
        <w:t xml:space="preserve"> focused on three main aspects of implementation: data analysis, replacement policy modification, and associativity adjustment. Each aspect contributed to evaluating and optimizing the L1 data cache for better performance under specific workloads.</w:t>
      </w:r>
    </w:p>
    <w:p>
      <w:pPr>
        <w:pStyle w:val="Heading2"/>
        <w:numPr>
          <w:ilvl w:val="1"/>
          <w:numId w:val="25"/>
        </w:numPr>
        <w:rPr/>
      </w:pPr>
      <w:r>
        <w:rPr/>
        <w:t>Data Analysis</w:t>
      </w:r>
    </w:p>
    <w:p>
      <w:pPr>
        <w:pStyle w:val="TextBody"/>
        <w:rPr/>
      </w:pPr>
      <w:r>
        <w:rPr/>
        <w:t xml:space="preserve">To facilitate performance analysis, key cache-related variables were monitored using </w:t>
      </w:r>
      <w:r>
        <w:rPr>
          <w:rStyle w:val="SourceText"/>
        </w:rPr>
        <w:t>(*mark_debug = "true" *)</w:t>
      </w:r>
      <w:r>
        <w:rPr/>
        <w:t>, enabling</w:t>
      </w:r>
      <w:r>
        <w:rPr>
          <w:rFonts w:eastAsia="MS Mincho" w:cs="Times New Roman"/>
          <w:color w:val="auto"/>
          <w:spacing w:val="-1"/>
          <w:kern w:val="0"/>
          <w:sz w:val="20"/>
          <w:szCs w:val="20"/>
          <w:lang w:val="en-US" w:eastAsia="en-US" w:bidi="ar-SA"/>
        </w:rPr>
        <w:t xml:space="preserve"> </w:t>
      </w:r>
      <w:r>
        <w:rPr/>
        <w:t>observation in the Integrated Logic Analyzer (ILA). Metrics such as hit/miss counts, hit/miss rates, and latency were computed for both read and write operations. The analysis process is summarized in the flowchart (Fig. 1</w:t>
      </w:r>
      <w:r>
        <w:rPr>
          <w:rFonts w:eastAsia="MS Mincho" w:cs="Times New Roman"/>
          <w:color w:val="auto"/>
          <w:spacing w:val="-1"/>
          <w:kern w:val="0"/>
          <w:sz w:val="20"/>
          <w:szCs w:val="20"/>
          <w:lang w:val="en-US" w:eastAsia="en-US" w:bidi="ar-SA"/>
        </w:rPr>
        <w:t xml:space="preserve"> and 2</w:t>
      </w:r>
      <w:r>
        <w:rPr/>
        <w:t>). By focusing on these metrics, the implementation provided a detailed view of cache performance and identified potential bottlenecks for further optimization.</w:t>
      </w:r>
    </w:p>
    <w:p>
      <w:pPr>
        <w:pStyle w:val="Figurecaption"/>
        <w:numPr>
          <w:ilvl w:val="0"/>
          <w:numId w:val="2"/>
        </w:numPr>
        <w:ind w:left="0" w:hanging="0"/>
        <w:rPr>
          <w:rFonts w:eastAsia="MS Mincho"/>
        </w:rPr>
      </w:pPr>
      <w:r>
        <w:rPr>
          <w:rFonts w:eastAsia="MS Mincho"/>
        </w:rPr>
        <w:t>cache_statistics_flowchart</w:t>
      </w:r>
      <w:r>
        <w:rPr>
          <w:rFonts w:eastAsia="MS Mincho"/>
          <w:i/>
          <w:iCs/>
        </w:rPr>
        <w:t>)</w:t>
      </w:r>
    </w:p>
    <w:p>
      <w:pPr>
        <w:pStyle w:val="Figurecaption"/>
        <w:numPr>
          <w:ilvl w:val="0"/>
          <w:numId w:val="2"/>
        </w:numPr>
        <w:ind w:left="0" w:hanging="0"/>
        <w:rPr>
          <w:rFonts w:eastAsia="MS Mincho"/>
        </w:rPr>
      </w:pPr>
      <w:r>
        <w:drawing>
          <wp:anchor behindDoc="0" distT="0" distB="0" distL="0" distR="0" simplePos="0" locked="0" layoutInCell="0" allowOverlap="1" relativeHeight="2">
            <wp:simplePos x="0" y="0"/>
            <wp:positionH relativeFrom="column">
              <wp:posOffset>139700</wp:posOffset>
            </wp:positionH>
            <wp:positionV relativeFrom="paragraph">
              <wp:posOffset>-110490</wp:posOffset>
            </wp:positionV>
            <wp:extent cx="3199765" cy="1351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99765" cy="1351915"/>
                    </a:xfrm>
                    <a:prstGeom prst="rect">
                      <a:avLst/>
                    </a:prstGeom>
                  </pic:spPr>
                </pic:pic>
              </a:graphicData>
            </a:graphic>
          </wp:anchor>
        </w:drawing>
      </w:r>
      <w:r>
        <w:rPr>
          <w:rFonts w:eastAsia="MS Mincho" w:cs="Times New Roman"/>
          <w:i/>
          <w:iCs/>
          <w:color w:val="auto"/>
          <w:kern w:val="0"/>
          <w:sz w:val="16"/>
          <w:szCs w:val="16"/>
          <w:lang w:val="en-US" w:eastAsia="en-US" w:bidi="ar-SA"/>
        </w:rPr>
        <w:t>latency_tracking_flowchart</w:t>
      </w:r>
    </w:p>
    <w:p>
      <w:pPr>
        <w:pStyle w:val="Heading2"/>
        <w:numPr>
          <w:ilvl w:val="1"/>
          <w:numId w:val="26"/>
        </w:numP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99765" cy="130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9765" cy="1301115"/>
                    </a:xfrm>
                    <a:prstGeom prst="rect">
                      <a:avLst/>
                    </a:prstGeom>
                  </pic:spPr>
                </pic:pic>
              </a:graphicData>
            </a:graphic>
          </wp:anchor>
        </w:drawing>
      </w:r>
      <w:r>
        <w:rPr/>
        <w:t>Replacement Policy Implementation</w:t>
      </w:r>
    </w:p>
    <w:p>
      <w:pPr>
        <w:pStyle w:val="TextBody"/>
        <w:rPr/>
      </w:pPr>
      <w:r>
        <w:rPr/>
        <w:t xml:space="preserve">Two replacement policies, </w:t>
      </w:r>
      <w:r>
        <w:rPr>
          <w:rStyle w:val="StrongEmphasis"/>
        </w:rPr>
        <w:t>Least Recently Used (LRU)</w:t>
      </w:r>
      <w:r>
        <w:rPr/>
        <w:t xml:space="preserve"> and </w:t>
      </w:r>
      <w:r>
        <w:rPr>
          <w:rStyle w:val="StrongEmphasis"/>
        </w:rPr>
        <w:t>Random</w:t>
      </w:r>
      <w:r>
        <w:rPr/>
        <w:t>, were implemented and evaluated against the baseline FIFO policy.</w:t>
      </w:r>
    </w:p>
    <w:p>
      <w:pPr>
        <w:pStyle w:val="TextBody"/>
        <w:rPr/>
      </w:pPr>
      <w:r>
        <w:rPr>
          <w:rStyle w:val="StrongEmphasis"/>
        </w:rPr>
        <w:t>LRU Replacement Policy</w:t>
      </w:r>
      <w:r>
        <w:rPr/>
        <w:t xml:space="preserve">: The LRU implementation extended the logic of the baseline FIFO. A two-dimensional array </w:t>
      </w:r>
      <w:r>
        <w:rPr>
          <w:rStyle w:val="SourceText"/>
        </w:rPr>
        <w:t>LRU</w:t>
      </w:r>
      <w:r>
        <w:rPr/>
        <w:t xml:space="preserve"> of size </w:t>
      </w:r>
      <w:r>
        <w:rPr>
          <w:rStyle w:val="SourceText"/>
        </w:rPr>
        <w:t>N_LINES * N_WAYS</w:t>
      </w:r>
      <w:r>
        <w:rPr/>
        <w:t xml:space="preserve"> was introduced to track the usage order of cache lines, where </w:t>
      </w:r>
      <w:r>
        <w:rPr>
          <w:rStyle w:val="SourceText"/>
        </w:rPr>
        <w:t>[0]</w:t>
      </w:r>
      <w:r>
        <w:rPr/>
        <w:t xml:space="preserve"> indicated the least recently used way and </w:t>
      </w:r>
      <w:r>
        <w:rPr>
          <w:rStyle w:val="SourceText"/>
        </w:rPr>
        <w:t>[N_WAYS-1]</w:t>
      </w:r>
      <w:r>
        <w:rPr/>
        <w:t xml:space="preserve"> represented the most recently used. During cache hits, the hit way was moved to the most recent position, while other ways were shifted forward. For cache misses, the least recently used way, </w:t>
      </w:r>
      <w:r>
        <w:rPr>
          <w:rStyle w:val="SourceText"/>
        </w:rPr>
        <w:t>LRU[line_index][0]</w:t>
      </w:r>
      <w:r>
        <w:rPr/>
        <w:t>, was selected as the victim. The LRU array was initialized during reset and updated dynamically during cache operations.</w:t>
      </w:r>
    </w:p>
    <w:p>
      <w:pPr>
        <w:pStyle w:val="TextBody"/>
        <w:rPr/>
      </w:pPr>
      <w:r>
        <w:rPr>
          <w:rStyle w:val="StrongEmphasis"/>
        </w:rPr>
        <w:t>Random Replacement Policy</w:t>
      </w:r>
      <w:r>
        <w:rPr/>
        <w:t xml:space="preserve">: The random policy was designed to avoid patterns that might degrade cache performance. Two seeds, </w:t>
      </w:r>
      <w:r>
        <w:rPr>
          <w:rStyle w:val="SourceText"/>
        </w:rPr>
        <w:t>random_seed_lfsr</w:t>
      </w:r>
      <w:r>
        <w:rPr/>
        <w:t xml:space="preserve"> and </w:t>
      </w:r>
      <w:r>
        <w:rPr>
          <w:rStyle w:val="SourceText"/>
        </w:rPr>
        <w:t>random_seed_time</w:t>
      </w:r>
      <w:r>
        <w:rPr/>
        <w:t xml:space="preserve">, were used to generate pseudo-random numbers. The XOR of these seeds, modulo </w:t>
      </w:r>
      <w:r>
        <w:rPr>
          <w:rStyle w:val="SourceText"/>
        </w:rPr>
        <w:t>N_WAYS</w:t>
      </w:r>
      <w:r>
        <w:rPr/>
        <w:t xml:space="preserve">, determined the victim way during cache misses. The </w:t>
      </w:r>
      <w:r>
        <w:rPr>
          <w:rStyle w:val="SourceText"/>
        </w:rPr>
        <w:t>random_seed_lfsr</w:t>
      </w:r>
      <w:r>
        <w:rPr/>
        <w:t xml:space="preserve"> was implemented using a Linear Feedback Shift Register (LFSR) for pseudo-random generation, while </w:t>
      </w:r>
      <w:r>
        <w:rPr>
          <w:rStyle w:val="SourceText"/>
        </w:rPr>
        <w:t>random_seed_time</w:t>
      </w:r>
      <w:r>
        <w:rPr/>
        <w:t xml:space="preserve"> acted as a simple counter. This approach ensured a diverse selection of victim ways, minimizing bias in replacement decisions.</w:t>
      </w:r>
    </w:p>
    <w:p>
      <w:pPr>
        <w:pStyle w:val="Heading2"/>
        <w:numPr>
          <w:ilvl w:val="1"/>
          <w:numId w:val="27"/>
        </w:numPr>
        <w:rPr>
          <w:rFonts w:ascii="Times New Roman" w:hAnsi="Times New Roman"/>
          <w:i/>
          <w:i/>
          <w:iCs/>
          <w:sz w:val="20"/>
          <w:szCs w:val="20"/>
        </w:rPr>
      </w:pPr>
      <w:r>
        <w:rPr>
          <w:rFonts w:eastAsia="新細明體" w:ascii="Times New Roman" w:hAnsi="Times New Roman" w:eastAsiaTheme="minorEastAsia"/>
          <w:i/>
          <w:iCs/>
          <w:sz w:val="20"/>
          <w:szCs w:val="20"/>
          <w:lang w:eastAsia="zh-TW"/>
        </w:rPr>
        <w:t>Associativity Adjustment</w:t>
      </w:r>
    </w:p>
    <w:p>
      <w:pPr>
        <w:pStyle w:val="TextBody"/>
        <w:rPr/>
      </w:pPr>
      <w:r>
        <w:rPr/>
        <w:t>To explore the impact of associativity on performance, the cache was modified to support 2-way and 8-way set-associative configurations. Adjustments required changes to key logic components:</w:t>
      </w:r>
    </w:p>
    <w:p>
      <w:pPr>
        <w:pStyle w:val="TextBody"/>
        <w:rPr/>
      </w:pPr>
      <w:r>
        <w:rPr/>
        <w:t>Way Matching: For way_hit signals, only way_hit[0] and way_hit[1] were active in 2-way, while all eight way_hit[0] to way_hit[7] signals were used in 8-way.</w:t>
      </w:r>
    </w:p>
    <w:p>
      <w:pPr>
        <w:pStyle w:val="TextBody"/>
        <w:rPr/>
      </w:pPr>
      <w:r>
        <w:rPr/>
        <w:t>Cache Hit Detection: The cache_hit logic was updated to (way_hit[0] || way_hit[1]) for 2-way and (way_hit[0] || way_hit[1] || ... || way_hit[7]) for 8-way configurations.</w:t>
      </w:r>
    </w:p>
    <w:p>
      <w:pPr>
        <w:pStyle w:val="TextBody"/>
        <w:rPr/>
      </w:pPr>
      <w:r>
        <w:rPr/>
        <w:t>Hit Index Calculation: The hit_index logic was adjusted to handle 2 or 8 cases, ensuring proper identification of the hit way.</w:t>
      </w:r>
    </w:p>
    <w:p>
      <w:pPr>
        <w:pStyle w:val="TextBody"/>
        <w:rPr/>
      </w:pPr>
      <w:r>
        <w:rPr/>
      </w:r>
    </w:p>
    <w:p>
      <w:pPr>
        <w:pStyle w:val="Heading1"/>
        <w:numPr>
          <w:ilvl w:val="0"/>
          <w:numId w:val="4"/>
        </w:numPr>
        <w:spacing w:before="120" w:after="80"/>
        <w:rPr>
          <w:rFonts w:eastAsia="MS Mincho"/>
        </w:rPr>
      </w:pPr>
      <w:r>
        <w:rPr/>
        <w:t>Results and Discussion</w:t>
      </w:r>
    </w:p>
    <w:p>
      <w:pPr>
        <w:pStyle w:val="TextBody"/>
        <w:rPr/>
      </w:pPr>
      <w:r>
        <w:rPr/>
        <w:t xml:space="preserve">One of the most critical factors influencing cache performance is the </w:t>
      </w:r>
      <w:r>
        <w:rPr>
          <w:rStyle w:val="StrongEmphasis"/>
        </w:rPr>
        <w:t>hit rate</w:t>
      </w:r>
      <w:r>
        <w:rPr/>
        <w:t xml:space="preserve">, as higher hit rates reduce the frequency of expensive memory accesses to lower levels of the memory hierarchy, such as main memory or disk. These accesses significantly impact overall execution time. To evaluate performance, I recorded both </w:t>
      </w:r>
      <w:r>
        <w:rPr>
          <w:rStyle w:val="StrongEmphasis"/>
        </w:rPr>
        <w:t>read</w:t>
      </w:r>
      <w:r>
        <w:rPr/>
        <w:t xml:space="preserve"> and </w:t>
      </w:r>
      <w:r>
        <w:rPr>
          <w:rStyle w:val="StrongEmphasis"/>
        </w:rPr>
        <w:t>write</w:t>
      </w:r>
      <w:r>
        <w:rPr/>
        <w:t xml:space="preserve"> hit/miss events during the π computation process and computed the respective hit rates, as shown in </w:t>
      </w:r>
      <w:r>
        <w:rPr>
          <w:rStyle w:val="StrongEmphasis"/>
        </w:rPr>
        <w:t>Table I</w:t>
      </w:r>
      <w:r>
        <w:rPr/>
        <w:t>.</w:t>
      </w:r>
    </w:p>
    <w:p>
      <w:pPr>
        <w:pStyle w:val="TextBody"/>
        <w:rPr/>
      </w:pPr>
      <w:r>
        <w:rPr/>
        <w:t xml:space="preserve">The data reveals that </w:t>
      </w:r>
      <w:r>
        <w:rPr>
          <w:rStyle w:val="StrongEmphasis"/>
        </w:rPr>
        <w:t>LRU</w:t>
      </w:r>
      <w:r>
        <w:rPr/>
        <w:t xml:space="preserve"> consistently achieves the highest read and write hit rates, followed by the </w:t>
      </w:r>
      <w:r>
        <w:rPr>
          <w:rStyle w:val="StrongEmphasis"/>
        </w:rPr>
        <w:t>Random</w:t>
      </w:r>
      <w:r>
        <w:rPr/>
        <w:t xml:space="preserve"> replacement policy, while </w:t>
      </w:r>
      <w:r>
        <w:rPr>
          <w:rStyle w:val="StrongEmphasis"/>
        </w:rPr>
        <w:t>FIFO</w:t>
      </w:r>
      <w:r>
        <w:rPr/>
        <w:t xml:space="preserve"> performs the least effectively in this regard. Interestingly, despite these differences in hit rates, the </w:t>
      </w:r>
      <w:r>
        <w:rPr>
          <w:rStyle w:val="StrongEmphasis"/>
        </w:rPr>
        <w:t>2-way and 4-way associativity configurations</w:t>
      </w:r>
      <w:r>
        <w:rPr/>
        <w:t xml:space="preserve"> exhibit comparable performance in terms of execution time, suggesting that higher associativity (e.g., 8-way) does not provide significant benefits for the given workload. The minor differences in hit rates and performance between the 2-way and 4-way configurations indicate that the trade-off between complexity and resource utilization can favor lower associativity without significant performance degradation.</w:t>
      </w:r>
    </w:p>
    <w:p>
      <w:pPr>
        <w:pStyle w:val="TextBody"/>
        <w:rPr/>
      </w:pPr>
      <w:r>
        <w:rPr/>
        <w:t xml:space="preserve">The cache controller's </w:t>
      </w:r>
      <w:r>
        <w:rPr>
          <w:rStyle w:val="StrongEmphasis"/>
        </w:rPr>
        <w:t>Finite State Machine (FSM)</w:t>
      </w:r>
      <w:r>
        <w:rPr/>
        <w:t xml:space="preserve"> provides insights into the latency impact of cache misses. Under ideal conditions, the FSM transitions directly from </w:t>
      </w:r>
      <w:r>
        <w:rPr>
          <w:rStyle w:val="SourceText"/>
        </w:rPr>
        <w:t>Idle</w:t>
      </w:r>
      <w:r>
        <w:rPr/>
        <w:t xml:space="preserve"> to </w:t>
      </w:r>
      <w:r>
        <w:rPr>
          <w:rStyle w:val="SourceText"/>
        </w:rPr>
        <w:t>Analyze</w:t>
      </w:r>
      <w:r>
        <w:rPr/>
        <w:t xml:space="preserve">, resulting in a hit. However, for misses, the required operations depend on whether the cache line is </w:t>
      </w:r>
      <w:r>
        <w:rPr>
          <w:rStyle w:val="StrongEmphasis"/>
        </w:rPr>
        <w:t>dirty</w:t>
      </w:r>
      <w:r>
        <w:rPr/>
        <w:t>:</w:t>
      </w:r>
    </w:p>
    <w:p>
      <w:pPr>
        <w:pStyle w:val="TextBody"/>
        <w:ind w:hanging="0"/>
        <w:rPr/>
      </w:pPr>
      <w:r>
        <w:rPr/>
        <w:t>Dirty Misses: Data must be written back to memory before loading new data. This write-back operation significantly increases latency. Observations using the Integrated Logic Analyzer (ILA) showed that dirty misses introduce a latency of approximately 51 cycles between p_strobe_i and p_ready_o.</w:t>
      </w:r>
    </w:p>
    <w:p>
      <w:pPr>
        <w:pStyle w:val="TextBody"/>
        <w:ind w:hanging="0"/>
        <w:rPr/>
      </w:pPr>
      <w:r>
        <w:rPr/>
        <w:t>Clean Misses: These involve only reading data from memory into the cache and incur a latency of approximately 31 cycles.</w:t>
      </w:r>
    </w:p>
    <w:p>
      <w:pPr>
        <w:pStyle w:val="Heading2"/>
        <w:numPr>
          <w:ilvl w:val="1"/>
          <w:numId w:val="28"/>
        </w:numPr>
        <w:rPr/>
      </w:pPr>
      <w:r>
        <w:rPr/>
        <w:t>Hit and Miss Analysis</w:t>
      </w:r>
    </w:p>
    <w:p>
      <w:pPr>
        <w:pStyle w:val="TextBody"/>
        <w:rPr/>
      </w:pPr>
      <w:r>
        <w:rPr/>
        <w:t>The relationship between hit/miss metrics and cache performance is crucial. A higher hit rate minimizes the need for expensive memory accesses, significantly reducing execution time. Table 1 summarizes the hit and miss rates for each.</w:t>
      </w:r>
    </w:p>
    <w:p>
      <w:pPr>
        <w:pStyle w:val="Tablehead"/>
        <w:numPr>
          <w:ilvl w:val="0"/>
          <w:numId w:val="9"/>
        </w:numPr>
        <w:rPr>
          <w:rFonts w:eastAsia="MS Mincho"/>
          <w:spacing w:val="-1"/>
        </w:rPr>
      </w:pPr>
      <w:r>
        <w:rPr>
          <w:rFonts w:eastAsia="新細明體" w:cs="Times New Roman" w:eastAsiaTheme="minorEastAsia"/>
          <w:smallCaps/>
          <w:color w:val="auto"/>
          <w:kern w:val="0"/>
          <w:sz w:val="16"/>
          <w:szCs w:val="16"/>
          <w:lang w:val="en-US" w:eastAsia="en-US" w:bidi="ar-SA"/>
        </w:rPr>
        <w:t>read hit rate and write hit rate of different policy</w:t>
      </w:r>
    </w:p>
    <w:tbl>
      <w:tblPr>
        <w:tblW w:w="485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05"/>
        <w:gridCol w:w="1622"/>
        <w:gridCol w:w="1082"/>
      </w:tblGrid>
      <w:tr>
        <w:trPr>
          <w:tblHeader w:val="true"/>
          <w:trHeight w:val="240" w:hRule="atLeast"/>
          <w:cantSplit w:val="true"/>
        </w:trPr>
        <w:tc>
          <w:tcPr>
            <w:tcW w:w="1705" w:type="dxa"/>
            <w:tcBorders>
              <w:top w:val="single" w:sz="2" w:space="0" w:color="000000"/>
              <w:left w:val="single" w:sz="2" w:space="0" w:color="000000"/>
              <w:bottom w:val="single" w:sz="2" w:space="0" w:color="000000"/>
              <w:right w:val="single" w:sz="2" w:space="0" w:color="000000"/>
            </w:tcBorders>
          </w:tcPr>
          <w:p>
            <w:pPr>
              <w:pStyle w:val="TableHeading"/>
              <w:widowControl w:val="false"/>
              <w:rPr>
                <w:sz w:val="16"/>
                <w:szCs w:val="16"/>
              </w:rPr>
            </w:pPr>
            <w:r>
              <w:rPr>
                <w:rStyle w:val="StrongEmphasis"/>
                <w:b/>
                <w:sz w:val="16"/>
                <w:szCs w:val="16"/>
              </w:rPr>
              <w:t>Policy</w:t>
            </w:r>
          </w:p>
        </w:tc>
        <w:tc>
          <w:tcPr>
            <w:tcW w:w="1622"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Style w:val="StrongEmphasis"/>
                <w:b/>
                <w:sz w:val="20"/>
                <w:szCs w:val="20"/>
              </w:rPr>
              <w:t>Read Hit Rate</w:t>
            </w:r>
          </w:p>
        </w:tc>
        <w:tc>
          <w:tcPr>
            <w:tcW w:w="1082"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Style w:val="StrongEmphasis"/>
                <w:b/>
                <w:sz w:val="20"/>
                <w:szCs w:val="20"/>
              </w:rPr>
              <w:t>Write Hit Rate</w:t>
            </w:r>
          </w:p>
        </w:tc>
      </w:tr>
      <w:tr>
        <w:trPr>
          <w:tblHeader w:val="true"/>
          <w:trHeight w:val="320" w:hRule="atLeast"/>
        </w:trPr>
        <w:tc>
          <w:tcPr>
            <w:tcW w:w="170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FIFO</w:t>
            </w:r>
          </w:p>
        </w:tc>
        <w:tc>
          <w:tcPr>
            <w:tcW w:w="162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position w:val="0"/>
                <w:sz w:val="20"/>
                <w:sz w:val="20"/>
                <w:szCs w:val="20"/>
                <w:vertAlign w:val="baseline"/>
              </w:rPr>
            </w:pPr>
            <w:r>
              <w:rPr>
                <w:position w:val="0"/>
                <w:sz w:val="20"/>
                <w:sz w:val="20"/>
                <w:szCs w:val="20"/>
                <w:vertAlign w:val="baseline"/>
              </w:rPr>
              <w:t>77.57%</w:t>
            </w:r>
          </w:p>
        </w:tc>
        <w:tc>
          <w:tcPr>
            <w:tcW w:w="10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83.30%</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LRU</w:t>
            </w:r>
          </w:p>
        </w:tc>
        <w:tc>
          <w:tcPr>
            <w:tcW w:w="162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80.44%</w:t>
            </w:r>
          </w:p>
        </w:tc>
        <w:tc>
          <w:tcPr>
            <w:tcW w:w="108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84.66%</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Random</w:t>
            </w:r>
          </w:p>
        </w:tc>
        <w:tc>
          <w:tcPr>
            <w:tcW w:w="162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78.61%</w:t>
            </w:r>
          </w:p>
        </w:tc>
        <w:tc>
          <w:tcPr>
            <w:tcW w:w="108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84.62%</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8-way FIFO</w:t>
            </w:r>
          </w:p>
        </w:tc>
        <w:tc>
          <w:tcPr>
            <w:tcW w:w="162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77.57%</w:t>
            </w:r>
          </w:p>
        </w:tc>
        <w:tc>
          <w:tcPr>
            <w:tcW w:w="108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83.30%</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2-way FIFO</w:t>
            </w:r>
          </w:p>
        </w:tc>
        <w:tc>
          <w:tcPr>
            <w:tcW w:w="162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77.57%</w:t>
            </w:r>
          </w:p>
        </w:tc>
        <w:tc>
          <w:tcPr>
            <w:tcW w:w="1082"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83.30%</w:t>
            </w:r>
          </w:p>
        </w:tc>
      </w:tr>
    </w:tbl>
    <w:p>
      <w:pPr>
        <w:pStyle w:val="Tablefootnote"/>
        <w:numPr>
          <w:ilvl w:val="0"/>
          <w:numId w:val="0"/>
        </w:numPr>
        <w:ind w:hanging="0"/>
        <w:rPr/>
      </w:pPr>
      <w:r>
        <w:rPr/>
      </w:r>
    </w:p>
    <w:p>
      <w:pPr>
        <w:pStyle w:val="TextBody"/>
        <w:ind w:hanging="0"/>
        <w:rPr/>
      </w:pPr>
      <w:r>
        <w:rPr>
          <w:rFonts w:eastAsia="MS Mincho" w:cs="Times New Roman"/>
          <w:color w:val="auto"/>
          <w:spacing w:val="-1"/>
          <w:kern w:val="0"/>
          <w:sz w:val="20"/>
          <w:szCs w:val="20"/>
          <w:lang w:val="en-US" w:eastAsia="en-US" w:bidi="ar-SA"/>
        </w:rPr>
        <w:t xml:space="preserve">This figure show that </w:t>
      </w:r>
      <w:r>
        <w:rPr/>
        <w:t>LRU consistently outperformed other policies by achieving the highest hit rates for both read and write operations.</w:t>
      </w:r>
      <w:r>
        <w:rPr>
          <w:rFonts w:eastAsia="MS Mincho" w:cs="Times New Roman"/>
          <w:color w:val="auto"/>
          <w:spacing w:val="-1"/>
          <w:kern w:val="0"/>
          <w:sz w:val="20"/>
          <w:szCs w:val="20"/>
          <w:lang w:val="en-US" w:eastAsia="en-US" w:bidi="ar-SA"/>
        </w:rPr>
        <w:t xml:space="preserve"> Also demonstrate that a</w:t>
      </w:r>
      <w:r>
        <w:rPr/>
        <w:t>djusting associativity (2-way and 8-way) did not significantly affect hit rates.</w:t>
      </w:r>
    </w:p>
    <w:p>
      <w:pPr>
        <w:pStyle w:val="Heading2"/>
        <w:numPr>
          <w:ilvl w:val="1"/>
          <w:numId w:val="29"/>
        </w:numPr>
        <w:rPr/>
      </w:pPr>
      <w:r>
        <w:rPr>
          <w:b/>
        </w:rPr>
        <w:t>Latency and Dirty Miss Analysis</w:t>
      </w:r>
    </w:p>
    <w:p>
      <w:pPr>
        <w:pStyle w:val="TextBody"/>
        <w:rPr/>
      </w:pPr>
      <w:r>
        <w:rPr/>
        <w:t xml:space="preserve">Latency analysis revealed critical insights into the impact of dirty and clean misses. Misses with dirty bits incurred additional latency due to write-back operations, as shown in Table </w:t>
      </w:r>
      <w:r>
        <w:rPr>
          <w:rFonts w:eastAsia="MS Mincho" w:cs="Times New Roman"/>
          <w:color w:val="auto"/>
          <w:spacing w:val="-1"/>
          <w:kern w:val="0"/>
          <w:sz w:val="20"/>
          <w:szCs w:val="20"/>
          <w:lang w:val="en-US" w:eastAsia="en-US" w:bidi="ar-SA"/>
        </w:rPr>
        <w:t>II</w:t>
      </w:r>
      <w:r>
        <w:rPr/>
        <w:t>:</w:t>
      </w:r>
    </w:p>
    <w:p>
      <w:pPr>
        <w:pStyle w:val="Tablehead"/>
        <w:numPr>
          <w:ilvl w:val="0"/>
          <w:numId w:val="9"/>
        </w:numPr>
        <w:rPr>
          <w:rFonts w:eastAsia="MS Mincho"/>
          <w:spacing w:val="-1"/>
        </w:rPr>
      </w:pPr>
      <w:r>
        <w:rPr>
          <w:rFonts w:eastAsia="新細明體" w:cs="Times New Roman" w:eastAsiaTheme="minorEastAsia"/>
          <w:smallCaps/>
          <w:color w:val="auto"/>
          <w:kern w:val="0"/>
          <w:sz w:val="16"/>
          <w:szCs w:val="16"/>
          <w:lang w:val="en-US" w:eastAsia="en-US" w:bidi="ar-SA"/>
        </w:rPr>
        <w:t>latency of different situation</w:t>
      </w:r>
    </w:p>
    <w:tbl>
      <w:tblPr>
        <w:tblW w:w="485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05"/>
        <w:gridCol w:w="1540"/>
        <w:gridCol w:w="1164"/>
      </w:tblGrid>
      <w:tr>
        <w:trPr>
          <w:tblHeader w:val="true"/>
          <w:trHeight w:val="240" w:hRule="atLeast"/>
          <w:cantSplit w:val="true"/>
        </w:trPr>
        <w:tc>
          <w:tcPr>
            <w:tcW w:w="1705" w:type="dxa"/>
            <w:tcBorders>
              <w:top w:val="single" w:sz="2" w:space="0" w:color="000000"/>
              <w:left w:val="single" w:sz="2" w:space="0" w:color="000000"/>
              <w:bottom w:val="single" w:sz="2" w:space="0" w:color="000000"/>
              <w:right w:val="single" w:sz="2" w:space="0" w:color="000000"/>
            </w:tcBorders>
          </w:tcPr>
          <w:p>
            <w:pPr>
              <w:pStyle w:val="TableHeading"/>
              <w:widowControl w:val="false"/>
              <w:rPr>
                <w:sz w:val="16"/>
                <w:szCs w:val="16"/>
              </w:rPr>
            </w:pPr>
            <w:r>
              <w:rPr>
                <w:rStyle w:val="StrongEmphasis"/>
                <w:b/>
                <w:sz w:val="20"/>
                <w:szCs w:val="20"/>
              </w:rPr>
              <w:t>Policy</w:t>
            </w:r>
          </w:p>
        </w:tc>
        <w:tc>
          <w:tcPr>
            <w:tcW w:w="15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Style w:val="StrongEmphasis"/>
                <w:b/>
              </w:rPr>
              <w:t>Dirty Miss Latency (Cycles)</w:t>
            </w:r>
          </w:p>
        </w:tc>
        <w:tc>
          <w:tcPr>
            <w:tcW w:w="1164"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Style w:val="StrongEmphasis"/>
                <w:b/>
              </w:rPr>
              <w:t>Clean Miss Latency (Cycles)</w:t>
            </w:r>
          </w:p>
        </w:tc>
      </w:tr>
      <w:tr>
        <w:trPr>
          <w:tblHeader w:val="true"/>
          <w:trHeight w:val="320" w:hRule="atLeast"/>
        </w:trPr>
        <w:tc>
          <w:tcPr>
            <w:tcW w:w="170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FIFO</w:t>
            </w:r>
          </w:p>
        </w:tc>
        <w:tc>
          <w:tcPr>
            <w:tcW w:w="154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position w:val="0"/>
                <w:sz w:val="20"/>
                <w:sz w:val="20"/>
                <w:szCs w:val="20"/>
                <w:vertAlign w:val="baseline"/>
              </w:rPr>
            </w:pPr>
            <w:r>
              <w:rPr>
                <w:position w:val="0"/>
                <w:sz w:val="20"/>
                <w:sz w:val="20"/>
                <w:szCs w:val="20"/>
                <w:vertAlign w:val="baseline"/>
              </w:rPr>
              <w:t>51</w:t>
            </w:r>
          </w:p>
        </w:tc>
        <w:tc>
          <w:tcPr>
            <w:tcW w:w="116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31</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LRU</w:t>
            </w:r>
          </w:p>
        </w:tc>
        <w:tc>
          <w:tcPr>
            <w:tcW w:w="1540"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50</w:t>
            </w:r>
          </w:p>
        </w:tc>
        <w:tc>
          <w:tcPr>
            <w:tcW w:w="1164"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31</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Random</w:t>
            </w:r>
          </w:p>
        </w:tc>
        <w:tc>
          <w:tcPr>
            <w:tcW w:w="1540"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50</w:t>
            </w:r>
          </w:p>
        </w:tc>
        <w:tc>
          <w:tcPr>
            <w:tcW w:w="1164"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3</w:t>
            </w:r>
            <w:r>
              <w:rPr>
                <w:rFonts w:eastAsia="新細明體" w:cs="Times New Roman" w:eastAsiaTheme="minorEastAsia"/>
                <w:color w:val="auto"/>
                <w:kern w:val="0"/>
                <w:sz w:val="20"/>
                <w:szCs w:val="20"/>
                <w:lang w:val="en-US" w:eastAsia="en-US" w:bidi="ar-SA"/>
              </w:rPr>
              <w:t>0</w:t>
            </w:r>
          </w:p>
        </w:tc>
      </w:tr>
    </w:tbl>
    <w:p>
      <w:pPr>
        <w:pStyle w:val="TextBody"/>
        <w:ind w:hanging="0"/>
        <w:rPr/>
      </w:pPr>
      <w:r>
        <w:rPr/>
      </w:r>
    </w:p>
    <w:p>
      <w:pPr>
        <w:pStyle w:val="TextBody"/>
        <w:ind w:hanging="0"/>
        <w:rPr/>
      </w:pPr>
      <w:r>
        <w:rPr>
          <w:rFonts w:eastAsia="MS Mincho" w:cs="Times New Roman"/>
          <w:color w:val="auto"/>
          <w:spacing w:val="-1"/>
          <w:kern w:val="0"/>
          <w:sz w:val="20"/>
          <w:szCs w:val="20"/>
          <w:lang w:val="en-US" w:eastAsia="en-US" w:bidi="ar-SA"/>
        </w:rPr>
        <w:t>We can find that :</w:t>
      </w:r>
    </w:p>
    <w:p>
      <w:pPr>
        <w:pStyle w:val="TextBody"/>
        <w:ind w:hanging="0"/>
        <w:rPr/>
      </w:pPr>
      <w:r>
        <w:rPr>
          <w:rFonts w:eastAsia="MS Mincho" w:cs="Times New Roman"/>
          <w:color w:val="auto"/>
          <w:spacing w:val="-1"/>
          <w:kern w:val="0"/>
          <w:sz w:val="20"/>
          <w:szCs w:val="20"/>
          <w:lang w:val="en-US" w:eastAsia="en-US" w:bidi="ar-SA"/>
        </w:rPr>
        <w:t>1</w:t>
      </w:r>
      <w:r>
        <w:rPr>
          <w:rFonts w:eastAsia="MS Mincho" w:cs="Times New Roman"/>
          <w:color w:val="auto"/>
          <w:spacing w:val="-1"/>
          <w:kern w:val="0"/>
          <w:sz w:val="20"/>
          <w:szCs w:val="20"/>
          <w:lang w:val="en-US" w:eastAsia="en-US" w:bidi="ar-SA"/>
        </w:rPr>
        <w:t>.</w:t>
        <w:tab/>
      </w:r>
      <w:r>
        <w:rPr/>
        <w:t>The latency overhead of dirty misses significantly impacts cache performance, with a single dirty miss averaging 51 cycles.</w:t>
      </w:r>
    </w:p>
    <w:p>
      <w:pPr>
        <w:pStyle w:val="TextBody"/>
        <w:ind w:hanging="0"/>
        <w:rPr/>
      </w:pPr>
      <w:r>
        <w:rPr>
          <w:rFonts w:eastAsia="MS Mincho" w:cs="Times New Roman"/>
          <w:color w:val="auto"/>
          <w:spacing w:val="-1"/>
          <w:kern w:val="0"/>
          <w:sz w:val="20"/>
          <w:szCs w:val="20"/>
          <w:lang w:val="en-US" w:eastAsia="en-US" w:bidi="ar-SA"/>
        </w:rPr>
        <w:t>2.</w:t>
        <w:tab/>
      </w:r>
      <w:r>
        <w:rPr/>
        <w:t>Both LRU and Random policies slightly reduced average latency compared to FIFO by better managing replacements and minimizing unnecessary write-backs.</w:t>
      </w:r>
      <w:r>
        <w:rPr>
          <w:rFonts w:eastAsia="MS Mincho" w:cs="Times New Roman"/>
          <w:color w:val="auto"/>
          <w:spacing w:val="-1"/>
          <w:kern w:val="0"/>
          <w:sz w:val="20"/>
          <w:szCs w:val="20"/>
          <w:lang w:val="en-US" w:eastAsia="en-US" w:bidi="ar-SA"/>
        </w:rPr>
        <w:t xml:space="preserve"> </w:t>
      </w:r>
      <w:r>
        <w:rPr>
          <w:rFonts w:eastAsia="MS Mincho" w:cs="Times New Roman"/>
          <w:color w:val="auto"/>
          <w:spacing w:val="-1"/>
          <w:kern w:val="0"/>
          <w:sz w:val="20"/>
          <w:szCs w:val="20"/>
          <w:lang w:val="en-US" w:eastAsia="en-US" w:bidi="ar-SA"/>
        </w:rPr>
        <w:t xml:space="preserve">But this may due to the analysis </w:t>
      </w:r>
      <w:r>
        <w:rPr>
          <w:rFonts w:eastAsia="MS Mincho" w:cs="Times New Roman"/>
          <w:b w:val="false"/>
          <w:i w:val="false"/>
          <w:caps w:val="false"/>
          <w:smallCaps w:val="false"/>
          <w:color w:val="auto"/>
          <w:spacing w:val="-1"/>
          <w:kern w:val="0"/>
          <w:sz w:val="20"/>
          <w:szCs w:val="20"/>
          <w:lang w:val="en-US" w:eastAsia="en-US" w:bidi="ar-SA"/>
        </w:rPr>
        <w:t>residual.</w:t>
      </w:r>
    </w:p>
    <w:p>
      <w:pPr>
        <w:pStyle w:val="Heading2"/>
        <w:numPr>
          <w:ilvl w:val="1"/>
          <w:numId w:val="30"/>
        </w:numPr>
        <w:rPr/>
      </w:pPr>
      <w:r>
        <w:rPr>
          <w:rFonts w:eastAsia="MS Mincho" w:cs="Times New Roman"/>
          <w:b/>
          <w:i/>
          <w:iCs/>
          <w:color w:val="auto"/>
          <w:kern w:val="0"/>
          <w:sz w:val="20"/>
          <w:szCs w:val="20"/>
          <w:lang w:val="en-US" w:eastAsia="en-US" w:bidi="ar-SA"/>
        </w:rPr>
        <w:t>E</w:t>
      </w:r>
      <w:r>
        <w:rPr>
          <w:b/>
        </w:rPr>
        <w:t>xecution Time Comparison</w:t>
      </w:r>
    </w:p>
    <w:p>
      <w:pPr>
        <w:pStyle w:val="Heading3"/>
        <w:numPr>
          <w:ilvl w:val="0"/>
          <w:numId w:val="0"/>
        </w:numPr>
        <w:ind w:hanging="0"/>
        <w:rPr>
          <w:i w:val="false"/>
          <w:i w:val="false"/>
          <w:iCs w:val="false"/>
        </w:rPr>
      </w:pPr>
      <w:r>
        <w:rPr>
          <w:i w:val="false"/>
          <w:iCs w:val="false"/>
        </w:rPr>
        <w:t xml:space="preserve">Execution time was measured for π computations to 5,000 decimal places across different configurations. Table </w:t>
      </w:r>
      <w:r>
        <w:rPr>
          <w:i w:val="false"/>
          <w:iCs w:val="false"/>
        </w:rPr>
        <w:t>III</w:t>
      </w:r>
      <w:r>
        <w:rPr>
          <w:i w:val="false"/>
          <w:iCs w:val="false"/>
        </w:rPr>
        <w:t xml:space="preserve"> highlights the execution times:</w:t>
      </w:r>
    </w:p>
    <w:p>
      <w:pPr>
        <w:pStyle w:val="Tablehead"/>
        <w:numPr>
          <w:ilvl w:val="0"/>
          <w:numId w:val="9"/>
        </w:numPr>
        <w:ind w:firstLine="288"/>
        <w:rPr>
          <w:rFonts w:eastAsia="MS Mincho"/>
          <w:spacing w:val="-1"/>
        </w:rPr>
      </w:pPr>
      <w:r>
        <w:rPr>
          <w:rFonts w:eastAsia="新細明體" w:cs="Times New Roman" w:eastAsiaTheme="minorEastAsia"/>
          <w:i w:val="false"/>
          <w:iCs w:val="false"/>
          <w:smallCaps/>
          <w:color w:val="auto"/>
          <w:kern w:val="0"/>
          <w:sz w:val="16"/>
          <w:szCs w:val="16"/>
          <w:lang w:val="en-US" w:eastAsia="en-US" w:bidi="ar-SA"/>
        </w:rPr>
        <w:t xml:space="preserve">execution time of different policy and Associativity </w:t>
      </w:r>
    </w:p>
    <w:tbl>
      <w:tblPr>
        <w:tblW w:w="485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05"/>
        <w:gridCol w:w="2029"/>
      </w:tblGrid>
      <w:tr>
        <w:trPr>
          <w:tblHeader w:val="true"/>
          <w:trHeight w:val="240" w:hRule="atLeast"/>
          <w:cantSplit w:val="true"/>
        </w:trPr>
        <w:tc>
          <w:tcPr>
            <w:tcW w:w="1705" w:type="dxa"/>
            <w:tcBorders>
              <w:top w:val="single" w:sz="2" w:space="0" w:color="000000"/>
              <w:left w:val="single" w:sz="2" w:space="0" w:color="000000"/>
              <w:bottom w:val="single" w:sz="2" w:space="0" w:color="000000"/>
              <w:right w:val="single" w:sz="2" w:space="0" w:color="000000"/>
            </w:tcBorders>
          </w:tcPr>
          <w:p>
            <w:pPr>
              <w:pStyle w:val="TableHeading"/>
              <w:widowControl w:val="false"/>
              <w:rPr>
                <w:sz w:val="16"/>
                <w:szCs w:val="16"/>
              </w:rPr>
            </w:pPr>
            <w:r>
              <w:rPr>
                <w:rStyle w:val="StrongEmphasis"/>
                <w:b/>
                <w:sz w:val="16"/>
                <w:szCs w:val="16"/>
              </w:rPr>
              <w:t>Policy</w:t>
            </w:r>
          </w:p>
        </w:tc>
        <w:tc>
          <w:tcPr>
            <w:tcW w:w="2029" w:type="dxa"/>
            <w:tcBorders>
              <w:top w:val="single" w:sz="2" w:space="0" w:color="000000"/>
              <w:left w:val="single" w:sz="2" w:space="0" w:color="000000"/>
              <w:bottom w:val="single" w:sz="2" w:space="0" w:color="000000"/>
              <w:right w:val="single" w:sz="2" w:space="0" w:color="000000"/>
            </w:tcBorders>
            <w:vAlign w:val="center"/>
          </w:tcPr>
          <w:p>
            <w:pPr>
              <w:pStyle w:val="TableHeading"/>
              <w:widowControl w:val="false"/>
              <w:rPr/>
            </w:pPr>
            <w:r>
              <w:rPr>
                <w:rStyle w:val="StrongEmphasis"/>
                <w:b/>
              </w:rPr>
              <w:t>Execution Time (ms)</w:t>
            </w:r>
          </w:p>
        </w:tc>
      </w:tr>
      <w:tr>
        <w:trPr>
          <w:tblHeader w:val="true"/>
          <w:trHeight w:val="320" w:hRule="atLeast"/>
        </w:trPr>
        <w:tc>
          <w:tcPr>
            <w:tcW w:w="170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FIFO</w:t>
            </w:r>
          </w:p>
        </w:tc>
        <w:tc>
          <w:tcPr>
            <w:tcW w:w="202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rPr>
                <w:position w:val="0"/>
                <w:sz w:val="20"/>
                <w:sz w:val="20"/>
                <w:szCs w:val="20"/>
                <w:vertAlign w:val="baseline"/>
              </w:rPr>
            </w:pPr>
            <w:r>
              <w:rPr>
                <w:position w:val="0"/>
                <w:sz w:val="20"/>
                <w:sz w:val="20"/>
                <w:szCs w:val="20"/>
                <w:vertAlign w:val="baseline"/>
              </w:rPr>
              <w:t>30,524</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LRU</w:t>
            </w:r>
          </w:p>
        </w:tc>
        <w:tc>
          <w:tcPr>
            <w:tcW w:w="2029"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28,983</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4-way Random</w:t>
            </w:r>
          </w:p>
        </w:tc>
        <w:tc>
          <w:tcPr>
            <w:tcW w:w="2029"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29,702</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8-way FIFO</w:t>
            </w:r>
          </w:p>
        </w:tc>
        <w:tc>
          <w:tcPr>
            <w:tcW w:w="2029"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30,517</w:t>
            </w:r>
          </w:p>
        </w:tc>
      </w:tr>
      <w:tr>
        <w:trPr>
          <w:trHeight w:val="320" w:hRule="atLeast"/>
        </w:trPr>
        <w:tc>
          <w:tcPr>
            <w:tcW w:w="1705"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2-way FIFO</w:t>
            </w:r>
          </w:p>
        </w:tc>
        <w:tc>
          <w:tcPr>
            <w:tcW w:w="2029" w:type="dxa"/>
            <w:tcBorders>
              <w:left w:val="single" w:sz="2" w:space="0" w:color="000000"/>
              <w:bottom w:val="single" w:sz="2" w:space="0" w:color="000000"/>
              <w:right w:val="single" w:sz="2" w:space="0" w:color="000000"/>
            </w:tcBorders>
            <w:vAlign w:val="center"/>
          </w:tcPr>
          <w:p>
            <w:pPr>
              <w:pStyle w:val="TableContents"/>
              <w:widowControl w:val="false"/>
              <w:rPr>
                <w:sz w:val="20"/>
                <w:szCs w:val="20"/>
              </w:rPr>
            </w:pPr>
            <w:r>
              <w:rPr>
                <w:sz w:val="20"/>
                <w:szCs w:val="20"/>
              </w:rPr>
              <w:t>30,516</w:t>
            </w:r>
          </w:p>
        </w:tc>
      </w:tr>
    </w:tbl>
    <w:p>
      <w:pPr>
        <w:pStyle w:val="TextBody"/>
        <w:rPr/>
      </w:pPr>
      <w:r>
        <w:rPr/>
        <w:t>LRU achieved the best execution time, improving by approximately 5% over FIFO due to fewer dirty misses and improved replacement decisions.</w:t>
      </w:r>
    </w:p>
    <w:p>
      <w:pPr>
        <w:pStyle w:val="TextBody"/>
        <w:rPr/>
      </w:pPr>
      <w:r>
        <w:rPr/>
        <w:t>The Random policy followed closely, demonstrating its ability to adapt to workloads with unpredictable access patterns.</w:t>
      </w:r>
    </w:p>
    <w:p>
      <w:pPr>
        <w:pStyle w:val="TextBody"/>
        <w:rPr/>
      </w:pPr>
      <w:r>
        <w:rPr/>
        <w:t xml:space="preserve">Execution times for 4-way and 8-way configurations were comparable, suggesting diminishing returns for increased associativity under the tested workload </w:t>
      </w:r>
      <w:r>
        <w:rPr/>
        <w:t xml:space="preserve">or just the </w:t>
      </w:r>
      <w:r>
        <w:rPr/>
        <w:t>acceptable tolerance.</w:t>
      </w:r>
    </w:p>
    <w:p>
      <w:pPr>
        <w:pStyle w:val="Heading1"/>
        <w:numPr>
          <w:ilvl w:val="0"/>
          <w:numId w:val="4"/>
        </w:numPr>
        <w:spacing w:before="120" w:after="80"/>
        <w:rPr>
          <w:rFonts w:eastAsia="MS Mincho"/>
        </w:rPr>
      </w:pPr>
      <w:r>
        <w:rPr>
          <w:rFonts w:eastAsia="新細明體" w:cs="Times New Roman" w:eastAsiaTheme="minorEastAsia"/>
          <w:smallCaps/>
          <w:color w:val="auto"/>
          <w:kern w:val="0"/>
          <w:sz w:val="20"/>
          <w:szCs w:val="20"/>
          <w:lang w:val="en-US" w:eastAsia="en-US" w:bidi="ar-SA"/>
        </w:rPr>
        <w:t>future work</w:t>
      </w:r>
    </w:p>
    <w:p>
      <w:pPr>
        <w:pStyle w:val="TextBody"/>
        <w:rPr>
          <w:rFonts w:eastAsia="MS Mincho"/>
        </w:rPr>
      </w:pPr>
      <w:r>
        <w:rPr>
          <w:rFonts w:eastAsia="MS Mincho" w:cs="Times New Roman"/>
          <w:color w:val="auto"/>
          <w:kern w:val="0"/>
          <w:sz w:val="20"/>
          <w:szCs w:val="20"/>
          <w:lang w:val="en-US" w:eastAsia="en-US" w:bidi="ar-SA"/>
        </w:rPr>
        <w:t>Future work can focus on exploring alternative strategies for improving the efficiency of π computation and optimizing the D-cache design. For instance, modifying the program logic to reduce memory access intensity or reorganizing data flow in the π computation process could minimize cache dependency. Using alternative methods for calculating π, such as the Gauss-Legendre algorithm or Monte Carlo simulations, may reveal how different computational patterns interact with cache policies and associativity levels.</w:t>
      </w:r>
    </w:p>
    <w:p>
      <w:pPr>
        <w:pStyle w:val="TextBody"/>
        <w:rPr>
          <w:rFonts w:eastAsia="MS Mincho"/>
        </w:rPr>
      </w:pPr>
      <w:r>
        <w:rPr>
          <w:rFonts w:eastAsia="MS Mincho" w:cs="Times New Roman"/>
          <w:color w:val="auto"/>
          <w:kern w:val="0"/>
          <w:sz w:val="20"/>
          <w:szCs w:val="20"/>
          <w:lang w:val="en-US" w:eastAsia="en-US" w:bidi="ar-SA"/>
        </w:rPr>
        <w:t>Also, f</w:t>
      </w:r>
      <w:r>
        <w:rPr>
          <w:rFonts w:eastAsia="MS Mincho" w:cs="Times New Roman"/>
          <w:color w:val="auto"/>
          <w:kern w:val="0"/>
          <w:sz w:val="20"/>
          <w:szCs w:val="20"/>
          <w:lang w:val="en-US" w:eastAsia="en-US" w:bidi="ar-SA"/>
        </w:rPr>
        <w:t>rom a hardware perspective, implementing a write-back buffer could mitigate the latency caused by dirty block writes. By temporarily storing write-back data, the processor could continue executing subsequent instructions without waiting for memory operations to complete. This approach could significantly improve throughput, particularly for write-heavy workloads.</w:t>
      </w:r>
    </w:p>
    <w:p>
      <w:pPr>
        <w:pStyle w:val="TextBody"/>
        <w:rPr>
          <w:rFonts w:eastAsia="MS Mincho"/>
        </w:rPr>
      </w:pPr>
      <w:r>
        <w:rPr>
          <w:rFonts w:eastAsia="MS Mincho" w:cs="Times New Roman"/>
          <w:color w:val="auto"/>
          <w:kern w:val="0"/>
          <w:sz w:val="20"/>
          <w:szCs w:val="20"/>
          <w:lang w:val="en-US" w:eastAsia="en-US" w:bidi="ar-SA"/>
        </w:rPr>
        <w:t>Futher more, a</w:t>
      </w:r>
      <w:r>
        <w:rPr>
          <w:rFonts w:eastAsia="MS Mincho" w:cs="Times New Roman"/>
          <w:color w:val="auto"/>
          <w:kern w:val="0"/>
          <w:sz w:val="20"/>
          <w:szCs w:val="20"/>
          <w:lang w:val="en-US" w:eastAsia="en-US" w:bidi="ar-SA"/>
        </w:rPr>
        <w:t>dopting advanced replacement policies like LFU (Least Frequently Used) or dynamic replacement strategies that adjust based on workload patterns could further enhance cache efficiency. For example, a dynamic policy that transitions between random and LRU depending on access behavior may optimize hit rates while reducing resource overhead.</w:t>
      </w:r>
    </w:p>
    <w:p>
      <w:pPr>
        <w:pStyle w:val="TextBody"/>
        <w:rPr>
          <w:rFonts w:eastAsia="MS Mincho"/>
        </w:rPr>
      </w:pPr>
      <w:r>
        <w:rPr>
          <w:rFonts w:eastAsia="MS Mincho" w:cs="Times New Roman"/>
          <w:color w:val="auto"/>
          <w:kern w:val="0"/>
          <w:sz w:val="20"/>
          <w:szCs w:val="20"/>
          <w:lang w:val="en-US" w:eastAsia="en-US" w:bidi="ar-SA"/>
        </w:rPr>
        <w:t>Last, we can focus on d</w:t>
      </w:r>
      <w:r>
        <w:rPr>
          <w:rFonts w:eastAsia="MS Mincho" w:cs="Times New Roman"/>
          <w:color w:val="auto"/>
          <w:kern w:val="0"/>
          <w:sz w:val="20"/>
          <w:szCs w:val="20"/>
          <w:lang w:val="en-US" w:eastAsia="en-US" w:bidi="ar-SA"/>
        </w:rPr>
        <w:t xml:space="preserve">ynamic associativity, where the cache adjusts the number of active ways based on the workload, could also be explored. This method would allow the cache to balance between resource usage and performance, activating more ways for complex workloads and reducing them for simpler tasks. </w:t>
      </w:r>
    </w:p>
    <w:p>
      <w:pPr>
        <w:pStyle w:val="TextBody"/>
        <w:rPr>
          <w:rFonts w:eastAsia="MS Mincho"/>
        </w:rPr>
      </w:pPr>
      <w:r>
        <w:rPr>
          <w:rFonts w:eastAsia="MS Mincho" w:cs="Times New Roman"/>
          <w:color w:val="auto"/>
          <w:kern w:val="0"/>
          <w:sz w:val="20"/>
          <w:szCs w:val="20"/>
          <w:lang w:val="en-US" w:eastAsia="en-US" w:bidi="ar-SA"/>
        </w:rPr>
        <w:t>In summary, these potential advancements in both software and hardware approaches could pave the way for more efficient π computation and optimized cache performance, addressing current limitations while setting a foundation for future exploration.</w:t>
      </w:r>
    </w:p>
    <w:p>
      <w:pPr>
        <w:pStyle w:val="Heading5"/>
        <w:rPr>
          <w:rFonts w:eastAsia="MS Mincho"/>
        </w:rPr>
      </w:pPr>
      <w:r>
        <w:rPr/>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jc w:val="both"/>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1"/>
    <w:family w:val="roman"/>
    <w:pitch w:val="variable"/>
  </w:font>
  <w:font w:name="SFMono-Regular">
    <w:altName w:val="Menlo"/>
    <w:charset w:val="01"/>
    <w:family w:val="auto"/>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8">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9">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eastAsiaTheme="minorEastAsia"/>
        <w:lang w:val="en-US" w:eastAsia="zh-TW"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新細明體" w:cs="Times New Roman" w:eastAsiaTheme="minorEastAsia"/>
      <w:color w:val="auto"/>
      <w:kern w:val="0"/>
      <w:sz w:val="20"/>
      <w:szCs w:val="20"/>
      <w:lang w:val="en-US" w:eastAsia="en-US" w:bidi="ar-SA"/>
    </w:rPr>
  </w:style>
  <w:style w:type="paragraph" w:styleId="Heading1">
    <w:name w:val="Heading 1"/>
    <w:basedOn w:val="Normal"/>
    <w:next w:val="Normal"/>
    <w:link w:val="1"/>
    <w:uiPriority w:val="99"/>
    <w:qFormat/>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2"/>
    <w:uiPriority w:val="99"/>
    <w:qFormat/>
    <w:rsid w:val="00ef3a1a"/>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3"/>
    <w:uiPriority w:val="99"/>
    <w:qFormat/>
    <w:rsid w:val="004059fe"/>
    <w:pPr>
      <w:numPr>
        <w:ilvl w:val="2"/>
        <w:numId w:val="6"/>
      </w:numPr>
      <w:spacing w:lineRule="exact" w:line="240"/>
      <w:ind w:firstLine="288"/>
      <w:jc w:val="both"/>
      <w:outlineLvl w:val="2"/>
    </w:pPr>
    <w:rPr>
      <w:rFonts w:eastAsia="MS Mincho"/>
      <w:i/>
      <w:iCs/>
    </w:rPr>
  </w:style>
  <w:style w:type="paragraph" w:styleId="Heading4">
    <w:name w:val="Heading 4"/>
    <w:basedOn w:val="Normal"/>
    <w:next w:val="Normal"/>
    <w:link w:val="4"/>
    <w:uiPriority w:val="99"/>
    <w:qFormat/>
    <w:rsid w:val="004059fe"/>
    <w:pPr>
      <w:numPr>
        <w:ilvl w:val="3"/>
        <w:numId w:val="7"/>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5"/>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1" w:customStyle="1">
    <w:name w:val="標題 1 字元"/>
    <w:basedOn w:val="DefaultParagraphFont"/>
    <w:link w:val="Heading1"/>
    <w:uiPriority w:val="9"/>
    <w:qFormat/>
    <w:locked/>
    <w:rPr>
      <w:rFonts w:ascii="Cambria" w:hAnsi="Cambria" w:eastAsia="Times New Roman" w:cs="Times New Roman"/>
      <w:b/>
      <w:bCs/>
      <w:kern w:val="2"/>
      <w:sz w:val="32"/>
      <w:szCs w:val="32"/>
    </w:rPr>
  </w:style>
  <w:style w:type="character" w:styleId="2" w:customStyle="1">
    <w:name w:val="標題 2 字元"/>
    <w:basedOn w:val="DefaultParagraphFont"/>
    <w:link w:val="Heading2"/>
    <w:uiPriority w:val="99"/>
    <w:qFormat/>
    <w:locked/>
    <w:rsid w:val="00ef3a1a"/>
    <w:rPr>
      <w:rFonts w:ascii="Times New Roman" w:hAnsi="Times New Roman" w:eastAsia="MS Mincho" w:cs="Times New Roman"/>
      <w:i/>
      <w:iCs/>
      <w:sz w:val="20"/>
      <w:szCs w:val="20"/>
    </w:rPr>
  </w:style>
  <w:style w:type="character" w:styleId="3" w:customStyle="1">
    <w:name w:val="標題 3 字元"/>
    <w:basedOn w:val="DefaultParagraphFont"/>
    <w:link w:val="Heading3"/>
    <w:uiPriority w:val="99"/>
    <w:qFormat/>
    <w:locked/>
    <w:rsid w:val="004059fe"/>
    <w:rPr>
      <w:rFonts w:ascii="Times New Roman" w:hAnsi="Times New Roman" w:eastAsia="MS Mincho" w:cs="Times New Roman"/>
      <w:i/>
      <w:iCs/>
      <w:sz w:val="20"/>
      <w:szCs w:val="20"/>
    </w:rPr>
  </w:style>
  <w:style w:type="character" w:styleId="4" w:customStyle="1">
    <w:name w:val="標題 4 字元"/>
    <w:basedOn w:val="DefaultParagraphFont"/>
    <w:link w:val="Heading4"/>
    <w:uiPriority w:val="99"/>
    <w:qFormat/>
    <w:locked/>
    <w:rsid w:val="004059fe"/>
    <w:rPr>
      <w:rFonts w:ascii="Times New Roman" w:hAnsi="Times New Roman" w:eastAsia="MS Mincho" w:cs="Times New Roman"/>
      <w:i/>
      <w:iCs/>
      <w:sz w:val="20"/>
      <w:szCs w:val="20"/>
    </w:rPr>
  </w:style>
  <w:style w:type="character" w:styleId="5" w:customStyle="1">
    <w:name w:val="標題 5 字元"/>
    <w:basedOn w:val="DefaultParagraphFont"/>
    <w:link w:val="Heading5"/>
    <w:uiPriority w:val="9"/>
    <w:semiHidden/>
    <w:qFormat/>
    <w:locked/>
    <w:rPr>
      <w:rFonts w:cs="Times New Roman"/>
      <w:b/>
      <w:bCs/>
      <w:i/>
      <w:iCs/>
      <w:sz w:val="26"/>
      <w:szCs w:val="26"/>
    </w:rPr>
  </w:style>
  <w:style w:type="character" w:styleId="Style9" w:customStyle="1">
    <w:name w:val="本文 字元"/>
    <w:basedOn w:val="DefaultParagraphFont"/>
    <w:uiPriority w:val="99"/>
    <w:qFormat/>
    <w:locked/>
    <w:rsid w:val="00753f7b"/>
    <w:rPr>
      <w:rFonts w:ascii="Times New Roman" w:hAnsi="Times New Roman" w:eastAsia="MS Mincho" w:cs="Times New Roman"/>
      <w:sz w:val="20"/>
      <w:szCs w:val="20"/>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T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uiPriority w:val="99"/>
    <w:qFormat/>
    <w:rsid w:val="0097508d"/>
    <w:pPr>
      <w:widowControl/>
      <w:suppressAutoHyphens w:val="true"/>
      <w:bidi w:val="0"/>
      <w:spacing w:before="0" w:after="200"/>
      <w:ind w:firstLine="274"/>
      <w:jc w:val="both"/>
    </w:pPr>
    <w:rPr>
      <w:rFonts w:ascii="Times New Roman" w:hAnsi="Times New Roman" w:eastAsia="新細明體" w:cs="Times New Roman" w:eastAsiaTheme="minorEastAsia"/>
      <w:b/>
      <w:bCs/>
      <w:color w:val="auto"/>
      <w:kern w:val="0"/>
      <w:sz w:val="18"/>
      <w:szCs w:val="18"/>
      <w:lang w:val="en-US" w:eastAsia="en-US" w:bidi="ar-SA"/>
    </w:rPr>
  </w:style>
  <w:style w:type="paragraph" w:styleId="Affiliation" w:customStyle="1">
    <w:name w:val="Affiliation"/>
    <w:uiPriority w:val="99"/>
    <w:qFormat/>
    <w:pPr>
      <w:widowControl/>
      <w:suppressAutoHyphens w:val="true"/>
      <w:bidi w:val="0"/>
      <w:spacing w:before="0" w:after="0"/>
      <w:jc w:val="center"/>
    </w:pPr>
    <w:rPr>
      <w:rFonts w:ascii="Times New Roman" w:hAnsi="Times New Roman" w:eastAsia="新細明體" w:cs="Times New Roman" w:eastAsiaTheme="minorEastAsia"/>
      <w:color w:val="auto"/>
      <w:kern w:val="0"/>
      <w:sz w:val="20"/>
      <w:szCs w:val="20"/>
      <w:lang w:val="en-US" w:eastAsia="en-US" w:bidi="ar-SA"/>
    </w:rPr>
  </w:style>
  <w:style w:type="paragraph" w:styleId="Author" w:customStyle="1">
    <w:name w:val="Author"/>
    <w:uiPriority w:val="99"/>
    <w:qFormat/>
    <w:pPr>
      <w:widowControl/>
      <w:suppressAutoHyphens w:val="true"/>
      <w:bidi w:val="0"/>
      <w:spacing w:before="360" w:after="40"/>
      <w:jc w:val="center"/>
    </w:pPr>
    <w:rPr>
      <w:rFonts w:ascii="Times New Roman" w:hAnsi="Times New Roman" w:eastAsia="新細明體" w:cs="Times New Roman" w:eastAsiaTheme="minorEastAsia"/>
      <w:color w:val="auto"/>
      <w:kern w:val="0"/>
      <w:sz w:val="22"/>
      <w:szCs w:val="22"/>
      <w:lang w:val="en-US" w:eastAsia="en-US" w:bidi="ar-SA"/>
    </w:rPr>
  </w:style>
  <w:style w:type="paragraph" w:styleId="Bulletlist" w:customStyle="1">
    <w:name w:val="bullet list"/>
    <w:basedOn w:val="TextBody"/>
    <w:qFormat/>
    <w:rsid w:val="008054bc"/>
    <w:pPr>
      <w:numPr>
        <w:ilvl w:val="0"/>
        <w:numId w:val="1"/>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numPr>
        <w:ilvl w:val="0"/>
        <w:numId w:val="2"/>
      </w:numPr>
      <w:tabs>
        <w:tab w:val="clear" w:pos="720"/>
        <w:tab w:val="left" w:pos="533" w:leader="none"/>
      </w:tabs>
      <w:suppressAutoHyphens w:val="true"/>
      <w:bidi w:val="0"/>
      <w:spacing w:before="80" w:after="200"/>
      <w:ind w:left="0" w:hanging="0"/>
      <w:jc w:val="both"/>
    </w:pPr>
    <w:rPr>
      <w:rFonts w:ascii="Times New Roman" w:hAnsi="Times New Roman" w:eastAsia="新細明體" w:cs="Times New Roman" w:eastAsiaTheme="minorEastAsia"/>
      <w:color w:val="auto"/>
      <w:kern w:val="0"/>
      <w:sz w:val="16"/>
      <w:szCs w:val="16"/>
      <w:lang w:val="en-US" w:eastAsia="en-US" w:bidi="ar-SA"/>
    </w:rPr>
  </w:style>
  <w:style w:type="paragraph" w:styleId="Footnote" w:customStyle="1">
    <w:name w:val="footnote"/>
    <w:uiPriority w:val="99"/>
    <w:qFormat/>
    <w:pPr>
      <w:widowControl/>
      <w:numPr>
        <w:ilvl w:val="0"/>
        <w:numId w:val="3"/>
      </w:numPr>
      <w:suppressAutoHyphens w:val="true"/>
      <w:bidi w:val="0"/>
      <w:spacing w:before="0" w:after="40"/>
      <w:jc w:val="left"/>
    </w:pPr>
    <w:rPr>
      <w:rFonts w:ascii="Times New Roman" w:hAnsi="Times New Roman" w:eastAsia="新細明體" w:cs="Times New Roman" w:eastAsiaTheme="minorEastAsia"/>
      <w:color w:val="auto"/>
      <w:kern w:val="0"/>
      <w:sz w:val="16"/>
      <w:szCs w:val="16"/>
      <w:lang w:val="en-US" w:eastAsia="en-US" w:bidi="ar-SA"/>
    </w:rPr>
  </w:style>
  <w:style w:type="paragraph" w:styleId="Keywords" w:customStyle="1">
    <w:name w:val="key words"/>
    <w:uiPriority w:val="99"/>
    <w:qFormat/>
    <w:rsid w:val="0097508d"/>
    <w:pPr>
      <w:widowControl/>
      <w:suppressAutoHyphens w:val="true"/>
      <w:bidi w:val="0"/>
      <w:spacing w:before="0" w:after="120"/>
      <w:ind w:firstLine="274"/>
      <w:jc w:val="both"/>
    </w:pPr>
    <w:rPr>
      <w:rFonts w:ascii="Times New Roman" w:hAnsi="Times New Roman" w:eastAsia="新細明體" w:cs="Times New Roman" w:eastAsiaTheme="minorEastAsia"/>
      <w:b/>
      <w:bCs/>
      <w:i/>
      <w:iCs/>
      <w:color w:val="auto"/>
      <w:kern w:val="0"/>
      <w:sz w:val="18"/>
      <w:szCs w:val="18"/>
      <w:lang w:val="en-US" w:eastAsia="en-US" w:bidi="ar-SA"/>
    </w:rPr>
  </w:style>
  <w:style w:type="paragraph" w:styleId="Papersubtitle" w:customStyle="1">
    <w:name w:val="paper subtitle"/>
    <w:uiPriority w:val="99"/>
    <w:qFormat/>
    <w:rsid w:val="0097508d"/>
    <w:pPr>
      <w:widowControl/>
      <w:suppressAutoHyphens w:val="true"/>
      <w:bidi w:val="0"/>
      <w:spacing w:before="0" w:after="120"/>
      <w:jc w:val="center"/>
    </w:pPr>
    <w:rPr>
      <w:rFonts w:ascii="Times New Roman" w:hAnsi="Times New Roman" w:eastAsia="新細明體" w:cs="Times New Roman" w:eastAsiaTheme="minorEastAsia"/>
      <w:bCs/>
      <w:color w:val="auto"/>
      <w:kern w:val="0"/>
      <w:sz w:val="28"/>
      <w:szCs w:val="28"/>
      <w:lang w:val="en-US" w:eastAsia="en-US" w:bidi="ar-SA"/>
    </w:rPr>
  </w:style>
  <w:style w:type="paragraph" w:styleId="Papertitle" w:customStyle="1">
    <w:name w:val="paper title"/>
    <w:uiPriority w:val="99"/>
    <w:qFormat/>
    <w:rsid w:val="0097508d"/>
    <w:pPr>
      <w:widowControl/>
      <w:suppressAutoHyphens w:val="true"/>
      <w:bidi w:val="0"/>
      <w:spacing w:before="0" w:after="120"/>
      <w:jc w:val="center"/>
    </w:pPr>
    <w:rPr>
      <w:rFonts w:ascii="Times New Roman" w:hAnsi="Times New Roman" w:eastAsia="新細明體" w:cs="Times New Roman" w:eastAsiaTheme="minorEastAsia"/>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8"/>
      </w:numPr>
      <w:suppressAutoHyphens w:val="true"/>
      <w:bidi w:val="0"/>
      <w:spacing w:lineRule="exact" w:line="180" w:before="0" w:after="50"/>
      <w:jc w:val="both"/>
    </w:pPr>
    <w:rPr>
      <w:rFonts w:ascii="Times New Roman" w:hAnsi="Times New Roman" w:eastAsia="新細明體" w:cs="Times New Roman" w:eastAsiaTheme="minorEastAsia"/>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新細明體" w:cs="Times New Roman" w:eastAsiaTheme="minorEastAsia"/>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suppressAutoHyphens w:val="true"/>
      <w:bidi w:val="0"/>
      <w:spacing w:before="0" w:after="0"/>
      <w:jc w:val="both"/>
    </w:pPr>
    <w:rPr>
      <w:rFonts w:ascii="Times New Roman" w:hAnsi="Times New Roman" w:eastAsia="新細明體" w:cs="Times New Roman" w:eastAsiaTheme="minorEastAsia"/>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10"/>
      </w:numPr>
      <w:tabs>
        <w:tab w:val="clear" w:pos="720"/>
        <w:tab w:val="left" w:pos="29" w:leader="none"/>
      </w:tabs>
      <w:suppressAutoHyphens w:val="true"/>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numPr>
        <w:ilvl w:val="0"/>
        <w:numId w:val="9"/>
      </w:numPr>
      <w:suppressAutoHyphens w:val="true"/>
      <w:bidi w:val="0"/>
      <w:spacing w:lineRule="auto" w:line="216" w:before="240" w:after="120"/>
      <w:jc w:val="center"/>
    </w:pPr>
    <w:rPr>
      <w:rFonts w:ascii="Times New Roman" w:hAnsi="Times New Roman" w:eastAsia="新細明體" w:cs="Times New Roman" w:eastAsiaTheme="minorEastAsia"/>
      <w:smallCaps/>
      <w:color w:val="auto"/>
      <w:kern w:val="0"/>
      <w:sz w:val="16"/>
      <w:szCs w:val="16"/>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LibreOffice/7.3.7.2$Linux_X86_64 LibreOffice_project/30$Build-2</Application>
  <AppVersion>15.0000</AppVersion>
  <Pages>3</Pages>
  <Words>1702</Words>
  <Characters>10182</Characters>
  <CharactersWithSpaces>11766</CharactersWithSpaces>
  <Paragraphs>104</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2013-10-11T00:15:00Z</dcterms:created>
  <dc:creator>IEEE</dc:creator>
  <dc:description/>
  <dc:language>en-US</dc:language>
  <cp:lastModifiedBy/>
  <dcterms:modified xsi:type="dcterms:W3CDTF">2024-11-19T17:40:29Z</dcterms:modified>
  <cp:revision>44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