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26/05/2026, 11AM, London</w:t>
      </w:r>
    </w:p>
    <w:p>
      <w:pPr>
        <w:pStyle w:val="BodyText"/>
      </w:pPr>
      <w:r>
        <w:t xml:space="preserve">Brent’s at $99.01 and WTI’s at $92.43 - not a bad start to the day. The market’s still trying to figure out what’s going on with Iran, but I think we’re getting closer to some kind of deal. The news sentiment is bearish, but that’s largely driven by the 36% of stories that are negative - and most of those are just rehashing old concerns about Hormuz.</w:t>
      </w:r>
    </w:p>
    <w:p>
      <w:pPr>
        <w:pStyle w:val="BodyText"/>
      </w:pPr>
      <w:r>
        <w:t xml:space="preserve">My view is that a deal between the US and Iran would be a game-changer for oil prices. A Hormuz closure could spike Brent by $20-30, no question. But even if we get a deal, I think it’ll take some time to filter through to the market - and in the meantime, we’re stuck with this limbo of uncertainty. The GDELT global news tone is still negative at -0.156, which suggests that there’s plenty of bad news out there to go around.</w:t>
      </w:r>
    </w:p>
    <w:p>
      <w:pPr>
        <w:pStyle w:val="BodyText"/>
      </w:pPr>
      <w:r>
        <w:t xml:space="preserve">The spreads are telling a story too - WTI 5-day trend is up 0.612%, while Brent’s only up 0.481%. That suggests that the market thinks WTI’s going to be more volatile in the short term, which could make it an interesting play if you’re looking for some upside. But overall, I think we’re still in a neutral phase - markets will likely remain range-bound until we get some clarity on Iran.</w:t>
      </w:r>
    </w:p>
    <w:p>
      <w:pPr>
        <w:pStyle w:val="BodyText"/>
      </w:pPr>
      <w:r>
        <w:t xml:space="preserve">Watch out for OPEC+ tensions too - they’ve been simmering for weeks now, and I think we’re due for another flare-up soon. Russia’s been trying to push the cartel towards deeper cuts, but Saudi Arabia’s pushing back hard. If that dispute escalates, it could send Brent soaring.</w:t>
      </w:r>
    </w:p>
    <w:bookmarkStart w:id="9" w:name="X4f1a51caef77dab358165dfb2d0f6c67f3643ab"/>
    <w:p>
      <w:pPr>
        <w:pStyle w:val="Heading2"/>
      </w:pPr>
      <w:r>
        <w:t xml:space="preserve">In terms of my personal outlook for the next 12-24 hours, I think we’ll see some more volatility as traders react to the latest Iran news. Markets will likely remain range-bound until we get some clarity on Hormuz - but if a deal does come through, watch out for a sharp spike in prices.</w:t>
      </w:r>
    </w:p>
    <w:bookmarkEnd w:id="9"/>
    <w:bookmarkStart w:id="17" w:name="data-appendix"/>
    <w:p>
      <w:pPr>
        <w:pStyle w:val="Heading2"/>
      </w:pPr>
      <w:r>
        <w:t xml:space="preserve">Data Appendix</w:t>
      </w:r>
    </w:p>
    <w:bookmarkStart w:id="10" w:name="price-data"/>
    <w:p>
      <w:pPr>
        <w:pStyle w:val="Heading3"/>
      </w:pPr>
      <w:r>
        <w:t xml:space="preserve">Price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Period</w:t>
            </w:r>
          </w:p>
        </w:tc>
        <w:tc>
          <w:tcPr/>
          <w:p>
            <w:pPr>
              <w:pStyle w:val="Compact"/>
            </w:pPr>
            <w:r>
              <w:t xml:space="preserve">Source</w:t>
            </w:r>
          </w:p>
        </w:tc>
      </w:tr>
      <w:tr>
        <w:tc>
          <w:tcPr/>
          <w:p>
            <w:pPr>
              <w:pStyle w:val="Compact"/>
            </w:pPr>
            <w:r>
              <w:t xml:space="preserve">Brent Crude</w:t>
            </w:r>
          </w:p>
        </w:tc>
        <w:tc>
          <w:tcPr/>
          <w:p>
            <w:pPr>
              <w:pStyle w:val="Compact"/>
            </w:pPr>
            <w:r>
              <w:t xml:space="preserve">$99.01</w:t>
            </w:r>
          </w:p>
        </w:tc>
        <w:tc>
          <w:tcPr/>
          <w:p>
            <w:pPr>
              <w:pStyle w:val="Compact"/>
            </w:pPr>
            <w:r>
              <w:t xml:space="preserve">2026-05-26</w:t>
            </w:r>
          </w:p>
        </w:tc>
        <w:tc>
          <w:tcPr/>
          <w:p>
            <w:pPr>
              <w:pStyle w:val="Compact"/>
            </w:pPr>
            <w:r>
              <w:t xml:space="preserve">LIVE</w:t>
            </w:r>
          </w:p>
        </w:tc>
      </w:tr>
      <w:tr>
        <w:tc>
          <w:tcPr/>
          <w:p>
            <w:pPr>
              <w:pStyle w:val="Compact"/>
            </w:pPr>
            <w:r>
              <w:t xml:space="preserve">WTI Crude</w:t>
            </w:r>
          </w:p>
        </w:tc>
        <w:tc>
          <w:tcPr/>
          <w:p>
            <w:pPr>
              <w:pStyle w:val="Compact"/>
            </w:pPr>
            <w:r>
              <w:t xml:space="preserve">$92.43</w:t>
            </w:r>
          </w:p>
        </w:tc>
        <w:tc>
          <w:tcPr/>
          <w:p>
            <w:pPr>
              <w:pStyle w:val="Compact"/>
            </w:pPr>
            <w:r>
              <w:t xml:space="preserve">2026-05-26</w:t>
            </w:r>
          </w:p>
        </w:tc>
        <w:tc>
          <w:tcPr/>
          <w:p>
            <w:pPr>
              <w:pStyle w:val="Compact"/>
            </w:pPr>
            <w:r>
              <w:t xml:space="preserve">LIVE</w:t>
            </w:r>
          </w:p>
        </w:tc>
      </w:tr>
      <w:tr>
        <w:tc>
          <w:tcPr/>
          <w:p>
            <w:pPr>
              <w:pStyle w:val="Compact"/>
            </w:pPr>
            <w:r>
              <w:t xml:space="preserve">WTI 5-day trend</w:t>
            </w:r>
          </w:p>
        </w:tc>
        <w:tc>
          <w:tcPr/>
          <w:p>
            <w:pPr>
              <w:pStyle w:val="Compact"/>
            </w:pPr>
            <w:r>
              <w:t xml:space="preserve">0.612</w:t>
            </w:r>
          </w:p>
        </w:tc>
        <w:tc>
          <w:tcPr/>
          <w:p>
            <w:pPr>
              <w:pStyle w:val="Compact"/>
            </w:pPr>
          </w:p>
        </w:tc>
        <w:tc>
          <w:tcPr/>
          <w:p>
            <w:pPr>
              <w:pStyle w:val="Compact"/>
            </w:pPr>
            <w:r>
              <w:t xml:space="preserve">EIA</w:t>
            </w:r>
          </w:p>
        </w:tc>
      </w:tr>
      <w:tr>
        <w:tc>
          <w:tcPr/>
          <w:p>
            <w:pPr>
              <w:pStyle w:val="Compact"/>
            </w:pPr>
            <w:r>
              <w:t xml:space="preserve">Brent 5-day trend</w:t>
            </w:r>
          </w:p>
        </w:tc>
        <w:tc>
          <w:tcPr/>
          <w:p>
            <w:pPr>
              <w:pStyle w:val="Compact"/>
            </w:pPr>
            <w:r>
              <w:t xml:space="preserve">0.481</w:t>
            </w:r>
          </w:p>
        </w:tc>
        <w:tc>
          <w:tcPr/>
          <w:p>
            <w:pPr>
              <w:pStyle w:val="Compact"/>
            </w:pPr>
          </w:p>
        </w:tc>
        <w:tc>
          <w:tcPr/>
          <w:p>
            <w:pPr>
              <w:pStyle w:val="Compact"/>
            </w:pPr>
            <w:r>
              <w:t xml:space="preserve">EIA</w:t>
            </w:r>
          </w:p>
        </w:tc>
      </w:tr>
    </w:tbl>
    <w:bookmarkEnd w:id="10"/>
    <w:bookmarkStart w:id="11" w:name="prediction-signal"/>
    <w:p>
      <w:pPr>
        <w:pStyle w:val="Heading3"/>
      </w:pPr>
      <w:r>
        <w:t xml:space="preserve">Prediction Signal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Score</w:t>
            </w:r>
          </w:p>
        </w:tc>
        <w:tc>
          <w:tcPr/>
          <w:p>
            <w:pPr>
              <w:pStyle w:val="Compact"/>
            </w:pPr>
            <w:r>
              <w:t xml:space="preserve">Weight</w:t>
            </w:r>
          </w:p>
        </w:tc>
      </w:tr>
      <w:tr>
        <w:tc>
          <w:tcPr/>
          <w:p>
            <w:pPr>
              <w:pStyle w:val="Compact"/>
            </w:pPr>
            <w:r>
              <w:t xml:space="preserve">News Sentiment</w:t>
            </w:r>
          </w:p>
        </w:tc>
        <w:tc>
          <w:tcPr/>
          <w:p>
            <w:pPr>
              <w:pStyle w:val="Compact"/>
            </w:pPr>
            <w:r>
              <w:t xml:space="preserve">-0.419</w:t>
            </w:r>
          </w:p>
        </w:tc>
        <w:tc>
          <w:tcPr/>
          <w:p>
            <w:pPr>
              <w:pStyle w:val="Compact"/>
            </w:pPr>
            <w:r>
              <w:t xml:space="preserve">40%</w:t>
            </w:r>
          </w:p>
        </w:tc>
      </w:tr>
      <w:tr>
        <w:tc>
          <w:tcPr/>
          <w:p>
            <w:pPr>
              <w:pStyle w:val="Compact"/>
            </w:pPr>
            <w:r>
              <w:t xml:space="preserve">EIA Price Trend</w:t>
            </w:r>
          </w:p>
        </w:tc>
        <w:tc>
          <w:tcPr/>
          <w:p>
            <w:pPr>
              <w:pStyle w:val="Compact"/>
            </w:pPr>
            <w:r>
              <w:t xml:space="preserve">0.546</w:t>
            </w:r>
          </w:p>
        </w:tc>
        <w:tc>
          <w:tcPr/>
          <w:p>
            <w:pPr>
              <w:pStyle w:val="Compact"/>
            </w:pPr>
            <w:r>
              <w:t xml:space="preserve">40%</w:t>
            </w:r>
          </w:p>
        </w:tc>
      </w:tr>
      <w:tr>
        <w:tc>
          <w:tcPr/>
          <w:p>
            <w:pPr>
              <w:pStyle w:val="Compact"/>
            </w:pPr>
            <w:r>
              <w:t xml:space="preserve">GDELT Tone</w:t>
            </w:r>
          </w:p>
        </w:tc>
        <w:tc>
          <w:tcPr/>
          <w:p>
            <w:pPr>
              <w:pStyle w:val="Compact"/>
            </w:pPr>
            <w:r>
              <w:t xml:space="preserve">-0.016</w:t>
            </w:r>
          </w:p>
        </w:tc>
        <w:tc>
          <w:tcPr/>
          <w:p>
            <w:pPr>
              <w:pStyle w:val="Compact"/>
            </w:pPr>
            <w:r>
              <w:t xml:space="preserve">20%</w:t>
            </w:r>
          </w:p>
        </w:tc>
      </w:tr>
      <w:tr>
        <w:tc>
          <w:tcPr/>
          <w:p>
            <w:pPr>
              <w:pStyle w:val="Compact"/>
            </w:pPr>
            <w:r>
              <w:rPr>
                <w:b/>
                <w:bCs/>
              </w:rPr>
              <w:t xml:space="preserve">Composite</w:t>
            </w:r>
          </w:p>
        </w:tc>
        <w:tc>
          <w:tcPr/>
          <w:p>
            <w:pPr>
              <w:pStyle w:val="Compact"/>
            </w:pPr>
            <w:r>
              <w:rPr>
                <w:b/>
                <w:bCs/>
              </w:rPr>
              <w:t xml:space="preserve">0.0477</w:t>
            </w:r>
          </w:p>
        </w:tc>
        <w:tc>
          <w:tcPr/>
          <w:p>
            <w:pPr>
              <w:pStyle w:val="Compact"/>
            </w:pPr>
          </w:p>
        </w:tc>
      </w:tr>
      <w:tr>
        <w:tc>
          <w:tcPr/>
          <w:p>
            <w:pPr>
              <w:pStyle w:val="Compact"/>
            </w:pPr>
            <w:r>
              <w:rPr>
                <w:b/>
                <w:bCs/>
              </w:rPr>
              <w:t xml:space="preserve">Direction</w:t>
            </w:r>
          </w:p>
        </w:tc>
        <w:tc>
          <w:tcPr/>
          <w:p>
            <w:pPr>
              <w:pStyle w:val="Compact"/>
            </w:pPr>
            <w:r>
              <w:rPr>
                <w:b/>
                <w:bCs/>
              </w:rPr>
              <w:t xml:space="preserve">NEUTRAL</w:t>
            </w:r>
          </w:p>
        </w:tc>
        <w:tc>
          <w:tcPr/>
          <w:p>
            <w:pPr>
              <w:pStyle w:val="Compact"/>
            </w:pPr>
          </w:p>
        </w:tc>
      </w:tr>
      <w:tr>
        <w:tc>
          <w:tcPr/>
          <w:p>
            <w:pPr>
              <w:pStyle w:val="Compact"/>
            </w:pPr>
            <w:r>
              <w:rPr>
                <w:b/>
                <w:bCs/>
              </w:rPr>
              <w:t xml:space="preserve">Confidence</w:t>
            </w:r>
          </w:p>
        </w:tc>
        <w:tc>
          <w:tcPr/>
          <w:p>
            <w:pPr>
              <w:pStyle w:val="Compact"/>
            </w:pPr>
            <w:r>
              <w:rPr>
                <w:b/>
                <w:bCs/>
              </w:rPr>
              <w:t xml:space="preserve">LOW</w:t>
            </w:r>
          </w:p>
        </w:tc>
        <w:tc>
          <w:tcPr/>
          <w:p>
            <w:pPr>
              <w:pStyle w:val="Compact"/>
            </w:pPr>
          </w:p>
        </w:tc>
      </w:tr>
    </w:tbl>
    <w:bookmarkEnd w:id="11"/>
    <w:bookmarkStart w:id="12" w:name="news-sentiment"/>
    <w:p>
      <w:pPr>
        <w:pStyle w:val="Heading3"/>
      </w:pPr>
      <w:r>
        <w:t xml:space="preserve">News Sentiment</w:t>
      </w:r>
    </w:p>
    <w:p>
      <w:pPr>
        <w:pStyle w:val="Compact"/>
        <w:numPr>
          <w:ilvl w:val="0"/>
          <w:numId w:val="1001"/>
        </w:numPr>
      </w:pPr>
      <w:r>
        <w:t xml:space="preserve">Bullish articles: 10</w:t>
      </w:r>
    </w:p>
    <w:p>
      <w:pPr>
        <w:pStyle w:val="Compact"/>
        <w:numPr>
          <w:ilvl w:val="0"/>
          <w:numId w:val="1001"/>
        </w:numPr>
      </w:pPr>
      <w:r>
        <w:t xml:space="preserve">Bearish articles: 36</w:t>
      </w:r>
    </w:p>
    <w:p>
      <w:pPr>
        <w:pStyle w:val="Compact"/>
        <w:numPr>
          <w:ilvl w:val="0"/>
          <w:numId w:val="1001"/>
        </w:numPr>
      </w:pPr>
      <w:r>
        <w:t xml:space="preserve">Neutral/Unclear: 16</w:t>
      </w:r>
    </w:p>
    <w:p>
      <w:pPr>
        <w:pStyle w:val="Compact"/>
        <w:numPr>
          <w:ilvl w:val="0"/>
          <w:numId w:val="1001"/>
        </w:numPr>
      </w:pPr>
      <w:r>
        <w:t xml:space="preserve">GDELT tone score: -0.156 (500 articles analysed)</w:t>
      </w:r>
    </w:p>
    <w:bookmarkEnd w:id="12"/>
    <w:bookmarkStart w:id="13" w:name="top-mentioned-organisations"/>
    <w:p>
      <w:pPr>
        <w:pStyle w:val="Heading3"/>
      </w:pPr>
      <w:r>
        <w:t xml:space="preserve">Top Mentioned Organisations</w:t>
      </w:r>
    </w:p>
    <w:p>
      <w:pPr>
        <w:pStyle w:val="Compact"/>
        <w:numPr>
          <w:ilvl w:val="0"/>
          <w:numId w:val="1002"/>
        </w:numPr>
      </w:pPr>
      <w:r>
        <w:t xml:space="preserve">Iran: 16 mentions</w:t>
      </w:r>
    </w:p>
    <w:p>
      <w:pPr>
        <w:pStyle w:val="Compact"/>
        <w:numPr>
          <w:ilvl w:val="0"/>
          <w:numId w:val="1002"/>
        </w:numPr>
      </w:pPr>
      <w:r>
        <w:t xml:space="preserve">U.S.: 7 mentions</w:t>
      </w:r>
    </w:p>
    <w:p>
      <w:pPr>
        <w:pStyle w:val="Compact"/>
        <w:numPr>
          <w:ilvl w:val="0"/>
          <w:numId w:val="1002"/>
        </w:numPr>
      </w:pPr>
      <w:r>
        <w:t xml:space="preserve">Bloomberg: 6 mentions</w:t>
      </w:r>
    </w:p>
    <w:p>
      <w:pPr>
        <w:pStyle w:val="Compact"/>
        <w:numPr>
          <w:ilvl w:val="0"/>
          <w:numId w:val="1002"/>
        </w:numPr>
      </w:pPr>
      <w:r>
        <w:t xml:space="preserve">White House: 5 mentions</w:t>
      </w:r>
    </w:p>
    <w:p>
      <w:pPr>
        <w:pStyle w:val="Compact"/>
        <w:numPr>
          <w:ilvl w:val="0"/>
          <w:numId w:val="1002"/>
        </w:numPr>
      </w:pPr>
      <w:r>
        <w:t xml:space="preserve">US: 5 mentions</w:t>
      </w:r>
    </w:p>
    <w:p>
      <w:pPr>
        <w:pStyle w:val="Compact"/>
        <w:numPr>
          <w:ilvl w:val="0"/>
          <w:numId w:val="1002"/>
        </w:numPr>
      </w:pPr>
      <w:r>
        <w:t xml:space="preserve">United States: 5 mentions</w:t>
      </w:r>
    </w:p>
    <w:p>
      <w:pPr>
        <w:pStyle w:val="Compact"/>
        <w:numPr>
          <w:ilvl w:val="0"/>
          <w:numId w:val="1002"/>
        </w:numPr>
      </w:pPr>
      <w:r>
        <w:t xml:space="preserve">Gazprom: 3 mentions</w:t>
      </w:r>
    </w:p>
    <w:p>
      <w:pPr>
        <w:pStyle w:val="Compact"/>
        <w:numPr>
          <w:ilvl w:val="0"/>
          <w:numId w:val="1002"/>
        </w:numPr>
      </w:pPr>
      <w:r>
        <w:t xml:space="preserve">SpaceX: 3 mentions</w:t>
      </w:r>
    </w:p>
    <w:bookmarkEnd w:id="13"/>
    <w:bookmarkStart w:id="14" w:name="most-relevant-news"/>
    <w:p>
      <w:pPr>
        <w:pStyle w:val="Heading3"/>
      </w:pPr>
      <w:r>
        <w:t xml:space="preserve">Most Relevant News</w:t>
      </w:r>
    </w:p>
    <w:p>
      <w:pPr>
        <w:pStyle w:val="Compact"/>
        <w:numPr>
          <w:ilvl w:val="0"/>
          <w:numId w:val="1003"/>
        </w:numPr>
      </w:pPr>
      <w:r>
        <w:t xml:space="preserve">[oilprice_news] Why Oil’s Supply Crunch Could Arrive Late (relevance: 0.54)</w:t>
      </w:r>
      <w:r>
        <w:t xml:space="preserve"> </w:t>
      </w:r>
      <w:r>
        <w:t xml:space="preserve">Why Oil’s Supply Crunch Could Arrive Late The oil market still looks surprisingly calm for a system that has spent nearly three months absorbing the largest supply disruption in modern history. That s</w:t>
      </w:r>
    </w:p>
    <w:p>
      <w:pPr>
        <w:pStyle w:val="Compact"/>
        <w:numPr>
          <w:ilvl w:val="0"/>
          <w:numId w:val="1003"/>
        </w:numPr>
      </w:pPr>
      <w:r>
        <w:t xml:space="preserve">[the_hill_energy] Oil prices dip amid optimism over potential US-Iran deal (relevance: 0.52)</w:t>
      </w:r>
      <w:r>
        <w:t xml:space="preserve"> </w:t>
      </w:r>
      <w:r>
        <w:t xml:space="preserve">Oil prices dip amid optimism over potential US-Iran deal Oil prices decreased early Monday amid negotiations between the Trump administration and Iran on reopening the Strait of Hormuz and ending the</w:t>
      </w:r>
    </w:p>
    <w:p>
      <w:pPr>
        <w:pStyle w:val="Compact"/>
        <w:numPr>
          <w:ilvl w:val="0"/>
          <w:numId w:val="1003"/>
        </w:numPr>
      </w:pPr>
      <w:r>
        <w:t xml:space="preserve">[oilprice_news] India Cuts Fuel Demand Growth Projections By 40% Amid Austerity DriveIndia Cuts (relevance: 0.52)</w:t>
      </w:r>
      <w:r>
        <w:t xml:space="preserve"> </w:t>
      </w:r>
      <w:r>
        <w:t xml:space="preserve">India Cuts Fuel Demand Growth Projections By 40% Amid Austerity DriveIndia Cuts India’s refined petroleum demand growth forecast has received a major downgrade, with rising crude oil import costs, a w</w:t>
      </w:r>
    </w:p>
    <w:p>
      <w:pPr>
        <w:pStyle w:val="Compact"/>
        <w:numPr>
          <w:ilvl w:val="0"/>
          <w:numId w:val="1003"/>
        </w:numPr>
      </w:pPr>
      <w:r>
        <w:t xml:space="preserve">[oilprice_news] Oil Prices Plunge Below $100 on Iran Deal Optimism (relevance: 0.49)</w:t>
      </w:r>
      <w:r>
        <w:t xml:space="preserve"> </w:t>
      </w:r>
      <w:r>
        <w:t xml:space="preserve">Oil Prices Plunge Below $100 on Iran Deal Optimism Oil prices plunged in early Asian trade on Monday following reports over the weekend that a deal to reopen the Strait of Hormuz was in its final stag</w:t>
      </w:r>
    </w:p>
    <w:p>
      <w:pPr>
        <w:pStyle w:val="Compact"/>
        <w:numPr>
          <w:ilvl w:val="0"/>
          <w:numId w:val="1003"/>
        </w:numPr>
      </w:pPr>
      <w:r>
        <w:t xml:space="preserve">[oilprice_news] Oil Prices Rise as Traders Grow Skeptical of U.S.-Iran Deal (relevance: 0.49)</w:t>
      </w:r>
      <w:r>
        <w:t xml:space="preserve"> </w:t>
      </w:r>
      <w:r>
        <w:t xml:space="preserve">Oil Prices Rise as Traders Grow Skeptical of U.S.-Iran Deal Oil prices climbed in early Asian trade on Friday as skepticism grew that U.S.-Iran negotiations would produce a breakthrough, with all the</w:t>
      </w:r>
    </w:p>
    <w:p>
      <w:pPr>
        <w:pStyle w:val="Compact"/>
        <w:numPr>
          <w:ilvl w:val="0"/>
          <w:numId w:val="1003"/>
        </w:numPr>
      </w:pPr>
      <w:r>
        <w:t xml:space="preserve">[oilprice_news] Oil Prices Rise as Iran Tempers U.S. Deal Hopes (relevance: 0.48)</w:t>
      </w:r>
      <w:r>
        <w:t xml:space="preserve"> </w:t>
      </w:r>
      <w:r>
        <w:t xml:space="preserve">Oil Prices Rise as Iran Tempers U.S. Deal Hopes Oil prices turned to a gain Friday after Iran poured cold water on growing market hopes for a near-term agreement with the United States, reminding trad</w:t>
      </w:r>
    </w:p>
    <w:p>
      <w:pPr>
        <w:pStyle w:val="Compact"/>
        <w:numPr>
          <w:ilvl w:val="0"/>
          <w:numId w:val="1003"/>
        </w:numPr>
      </w:pPr>
      <w:r>
        <w:t xml:space="preserve">[rigzone] Wood Mackenzie Warns Oil Could Hit $200 (relevance: 0.48)</w:t>
      </w:r>
      <w:r>
        <w:t xml:space="preserve"> </w:t>
      </w:r>
      <w:r>
        <w:t xml:space="preserve">Wood Mackenzie Warns Oil Could Hit $200 Wood Mackenzie said its analysis indicates that Brent crude prices could approach $200 per barrel by end-2026.</w:t>
      </w:r>
    </w:p>
    <w:p>
      <w:pPr>
        <w:pStyle w:val="Compact"/>
        <w:numPr>
          <w:ilvl w:val="0"/>
          <w:numId w:val="1003"/>
        </w:numPr>
      </w:pPr>
      <w:r>
        <w:t xml:space="preserve">[rigzone] Oil Near $100 Seen as Base Case for 2026 (relevance: 0.47)</w:t>
      </w:r>
      <w:r>
        <w:t xml:space="preserve"> </w:t>
      </w:r>
      <w:r>
        <w:t xml:space="preserve">Oil Near $100 Seen as Base Case for 2026 Oil market participants are increasingly pricing crude to be capped near $100 a barrel over the next year.</w:t>
      </w:r>
    </w:p>
    <w:bookmarkEnd w:id="14"/>
    <w:bookmarkStart w:id="15" w:name="recent-extracted-events"/>
    <w:p>
      <w:pPr>
        <w:pStyle w:val="Heading3"/>
      </w:pPr>
      <w:r>
        <w:t xml:space="preserve">Recent Extracted Events</w:t>
      </w:r>
    </w:p>
    <w:p>
      <w:pPr>
        <w:pStyle w:val="Compact"/>
        <w:numPr>
          <w:ilvl w:val="0"/>
          <w:numId w:val="1004"/>
        </w:numPr>
      </w:pPr>
      <w:r>
        <w:t xml:space="preserve">[] Hot weather spurs nuclear concerns and lower hydro availability (from: French Power Prices Jump as Hot Weather Spurs Nuclear Concer)</w:t>
      </w:r>
    </w:p>
    <w:p>
      <w:pPr>
        <w:pStyle w:val="Compact"/>
        <w:numPr>
          <w:ilvl w:val="0"/>
          <w:numId w:val="1004"/>
        </w:numPr>
      </w:pPr>
      <w:r>
        <w:t xml:space="preserve">[supply_change] Indian refiners process less crude in April amid Middle East supply disruptions (from: Indian refiners process less crude in April amid Middle East)</w:t>
      </w:r>
    </w:p>
    <w:p>
      <w:pPr>
        <w:pStyle w:val="Compact"/>
        <w:numPr>
          <w:ilvl w:val="0"/>
          <w:numId w:val="1004"/>
        </w:numPr>
      </w:pPr>
      <w:r>
        <w:t xml:space="preserve">[] British customers owe a record £4.5bn to their power suppliers (from: Fewer households should be exempt from energy bills, says re)</w:t>
      </w:r>
    </w:p>
    <w:p>
      <w:pPr>
        <w:pStyle w:val="Compact"/>
        <w:numPr>
          <w:ilvl w:val="0"/>
          <w:numId w:val="1004"/>
        </w:numPr>
      </w:pPr>
      <w:r>
        <w:t xml:space="preserve">[weather] drought (from: Brazil’s Cotton Farmers Cash in on Rally Fueled by Obstacles)</w:t>
      </w:r>
    </w:p>
    <w:p>
      <w:pPr>
        <w:pStyle w:val="Compact"/>
        <w:numPr>
          <w:ilvl w:val="0"/>
          <w:numId w:val="1004"/>
        </w:numPr>
      </w:pPr>
      <w:r>
        <w:t xml:space="preserve">[geopolitical] Iran war (from: Brazil’s Cotton Farmers Cash in on Rally Fueled by Obstacles)</w:t>
      </w:r>
    </w:p>
    <w:p>
      <w:pPr>
        <w:pStyle w:val="Compact"/>
        <w:numPr>
          <w:ilvl w:val="0"/>
          <w:numId w:val="1004"/>
        </w:numPr>
      </w:pPr>
      <w:r>
        <w:t xml:space="preserve">[] US strikes Iranian missile sites (from: FirstFT: US strikes Iranian missile sites)</w:t>
      </w:r>
    </w:p>
    <w:p>
      <w:pPr>
        <w:pStyle w:val="Compact"/>
        <w:numPr>
          <w:ilvl w:val="0"/>
          <w:numId w:val="1004"/>
        </w:numPr>
      </w:pPr>
      <w:r>
        <w:t xml:space="preserve">[geopolitical] US strikes Iranian missile sites as peace talks continue Washington announces ‘self-defence’ operation against targets in southern Iran (from: US strikes Iranian missile sites as peace talks continue)</w:t>
      </w:r>
    </w:p>
    <w:p>
      <w:pPr>
        <w:pStyle w:val="Compact"/>
        <w:numPr>
          <w:ilvl w:val="0"/>
          <w:numId w:val="1004"/>
        </w:numPr>
      </w:pPr>
      <w:r>
        <w:t xml:space="preserve">[policy] Prime Minister Sanae Takaichi proposed emergency stimulus to help households and businesses reeling from higher energy prices. (from: The bond market is telling us the free lunch is over)</w:t>
      </w:r>
    </w:p>
    <w:bookmarkEnd w:id="15"/>
    <w:bookmarkStart w:id="16" w:name="eia-market-data"/>
    <w:p>
      <w:pPr>
        <w:pStyle w:val="Heading3"/>
      </w:pPr>
      <w:r>
        <w:t xml:space="preserve">EIA Market Data</w:t>
      </w:r>
    </w:p>
    <w:p>
      <w:pPr>
        <w:pStyle w:val="Compact"/>
        <w:numPr>
          <w:ilvl w:val="0"/>
          <w:numId w:val="1005"/>
        </w:numPr>
      </w:pPr>
      <w:r>
        <w:t xml:space="preserve">US Crude Inventory (latest weekly): from EIA series PET.WCESTUS1.W</w:t>
      </w:r>
    </w:p>
    <w:p>
      <w:pPr>
        <w:pStyle w:val="Compact"/>
        <w:numPr>
          <w:ilvl w:val="0"/>
          <w:numId w:val="1005"/>
        </w:numPr>
      </w:pPr>
      <w:r>
        <w:t xml:space="preserve">US Crude Production (latest weekly): from EIA series PET.WCRFPUS2.W</w:t>
      </w:r>
    </w:p>
    <w:p>
      <w:pPr>
        <w:pStyle w:val="FirstParagraph"/>
      </w:pPr>
      <w:r>
        <w:rPr>
          <w:i/>
          <w:iCs/>
        </w:rPr>
        <w:t xml:space="preserve">Report generated: 2026-05-26 11:03 UTC</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2026-05-26T11:03:04Z</dcterms:created>
  <dcterms:modified xsi:type="dcterms:W3CDTF">2026-05-26T11:03:04Z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ent">
    <vt:lpwstr>99.01 (2026-05-26)</vt:lpwstr>
  </property>
  <property fmtid="{D5CDD505-2E9C-101B-9397-08002B2CF9AE}" pid="3" name="confidence">
    <vt:lpwstr>low</vt:lpwstr>
  </property>
  <property fmtid="{D5CDD505-2E9C-101B-9397-08002B2CF9AE}" pid="4" name="direction">
    <vt:lpwstr>neutral</vt:lpwstr>
  </property>
  <property fmtid="{D5CDD505-2E9C-101B-9397-08002B2CF9AE}" pid="5" name="generated_at">
    <vt:lpwstr>2026-05-26T11:03:02.338180+00:00</vt:lpwstr>
  </property>
  <property fmtid="{D5CDD505-2E9C-101B-9397-08002B2CF9AE}" pid="6" name="score">
    <vt:lpwstr>4.77e-2</vt:lpwstr>
  </property>
  <property fmtid="{D5CDD505-2E9C-101B-9397-08002B2CF9AE}" pid="7" name="wti">
    <vt:lpwstr>92.43 (2026-05-26)</vt:lpwstr>
  </property>
</Properties>
</file>