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25/05/2026, 10AM, London</w:t>
      </w:r>
    </w:p>
    <w:p>
      <w:pPr>
        <w:pStyle w:val="BodyText"/>
      </w:pPr>
      <w:r>
        <w:t xml:space="preserve">Brent’s at $97.78 and WTI’s at $91.12 - not a bad start to the day. The five-day trends are showing some stability, with Brent up 0.481% and WTI up 0.612%. But let’s not get too comfortable here.</w:t>
      </w:r>
    </w:p>
    <w:p>
      <w:pPr>
        <w:pStyle w:val="BodyText"/>
      </w:pPr>
      <w:r>
        <w:t xml:space="preserve">The market signal is neutral, which I think is a bit of an understatement given all that’s going on in the world. News sentiment is bearish, with 23 out of 36 stories having a negative tone. GDELT’s global news tone is -0.255, indicating a decidedly pessimistic outlook.</w:t>
      </w:r>
    </w:p>
    <w:p>
      <w:pPr>
        <w:pStyle w:val="BodyText"/>
      </w:pPr>
      <w:r>
        <w:t xml:space="preserve">Iran’s still dominating the headlines, and I think we’re getting close to a deal being struck. If that happens, you can bet oil prices will plummet. But until then, markets are pricing in a lot of uncertainty, which is why Brent’s trading at such a premium to WTI - $6.66 per barrel, to be exact.</w:t>
      </w:r>
    </w:p>
    <w:p>
      <w:pPr>
        <w:pStyle w:val="BodyText"/>
      </w:pPr>
      <w:r>
        <w:t xml:space="preserve">The Strait of Hormuz situation is still a major concern, and I think we’re going to see more disruptions to oil flows before this is all over. ADNOC’s warning that Gulf oil disruptions could last until 2027 should give everyone pause for thought.</w:t>
      </w:r>
    </w:p>
    <w:p>
      <w:pPr>
        <w:pStyle w:val="BodyText"/>
      </w:pPr>
      <w:r>
        <w:t xml:space="preserve">Looking at the spreads, we’ve got a bit of backwardation in WTI, with the prompt month trading at a premium to the next few months out. That suggests some traders are expecting prices to rise in the near term. But I think that’s a bit too optimistic - we’re still dealing with a global supply crunch here.</w:t>
      </w:r>
    </w:p>
    <w:p>
      <w:pPr>
        <w:pStyle w:val="BodyText"/>
      </w:pPr>
      <w:r>
        <w:t xml:space="preserve">My view is that markets will likely remain volatile for the next 24 hours, especially if there’s any news on the Iran deal front. Watch out for any developments from OPEC+ as well - they’ve been quiet lately, but I’m sure they’ll have something to say soon enough.</w:t>
      </w:r>
    </w:p>
    <w:bookmarkStart w:id="9" w:name="Xa6de6e210bbb391f41cec9744d9195facd2941b"/>
    <w:p>
      <w:pPr>
        <w:pStyle w:val="Heading2"/>
      </w:pPr>
      <w:r>
        <w:t xml:space="preserve">Overall, I think it’s going to be a bumpy ride today. Prices might dip a bit if an Iran deal is announced, but I wouldn’t count on it lasting long-term. We’re still in the midst of a global supply crunch, and that’s not going away anytime soon.</w:t>
      </w:r>
    </w:p>
    <w:bookmarkEnd w:id="9"/>
    <w:bookmarkStart w:id="17" w:name="data-appendix"/>
    <w:p>
      <w:pPr>
        <w:pStyle w:val="Heading2"/>
      </w:pPr>
      <w:r>
        <w:t xml:space="preserve">Data Appendix</w:t>
      </w:r>
    </w:p>
    <w:bookmarkStart w:id="10" w:name="price-data"/>
    <w:p>
      <w:pPr>
        <w:pStyle w:val="Heading3"/>
      </w:pPr>
      <w:r>
        <w:t xml:space="preserve">Price Data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Value</w:t>
            </w:r>
          </w:p>
        </w:tc>
        <w:tc>
          <w:tcPr/>
          <w:p>
            <w:pPr>
              <w:pStyle w:val="Compact"/>
            </w:pPr>
            <w:r>
              <w:t xml:space="preserve">Period</w:t>
            </w:r>
          </w:p>
        </w:tc>
        <w:tc>
          <w:tcPr/>
          <w:p>
            <w:pPr>
              <w:pStyle w:val="Compact"/>
            </w:pPr>
            <w:r>
              <w:t xml:space="preserve">Source</w:t>
            </w:r>
          </w:p>
        </w:tc>
      </w:tr>
      <w:tr>
        <w:tc>
          <w:tcPr/>
          <w:p>
            <w:pPr>
              <w:pStyle w:val="Compact"/>
            </w:pPr>
            <w:r>
              <w:t xml:space="preserve">Brent Crude</w:t>
            </w:r>
          </w:p>
        </w:tc>
        <w:tc>
          <w:tcPr/>
          <w:p>
            <w:pPr>
              <w:pStyle w:val="Compact"/>
            </w:pPr>
            <w:r>
              <w:t xml:space="preserve">$97.78</w:t>
            </w:r>
          </w:p>
        </w:tc>
        <w:tc>
          <w:tcPr/>
          <w:p>
            <w:pPr>
              <w:pStyle w:val="Compact"/>
            </w:pPr>
            <w:r>
              <w:t xml:space="preserve">2026-05-25</w:t>
            </w:r>
          </w:p>
        </w:tc>
        <w:tc>
          <w:tcPr/>
          <w:p>
            <w:pPr>
              <w:pStyle w:val="Compact"/>
            </w:pPr>
            <w:r>
              <w:t xml:space="preserve">LIVE</w:t>
            </w:r>
          </w:p>
        </w:tc>
      </w:tr>
      <w:tr>
        <w:tc>
          <w:tcPr/>
          <w:p>
            <w:pPr>
              <w:pStyle w:val="Compact"/>
            </w:pPr>
            <w:r>
              <w:t xml:space="preserve">WTI Crude</w:t>
            </w:r>
          </w:p>
        </w:tc>
        <w:tc>
          <w:tcPr/>
          <w:p>
            <w:pPr>
              <w:pStyle w:val="Compact"/>
            </w:pPr>
            <w:r>
              <w:t xml:space="preserve">$91.12</w:t>
            </w:r>
          </w:p>
        </w:tc>
        <w:tc>
          <w:tcPr/>
          <w:p>
            <w:pPr>
              <w:pStyle w:val="Compact"/>
            </w:pPr>
            <w:r>
              <w:t xml:space="preserve">2026-05-25</w:t>
            </w:r>
          </w:p>
        </w:tc>
        <w:tc>
          <w:tcPr/>
          <w:p>
            <w:pPr>
              <w:pStyle w:val="Compact"/>
            </w:pPr>
            <w:r>
              <w:t xml:space="preserve">LIVE</w:t>
            </w:r>
          </w:p>
        </w:tc>
      </w:tr>
      <w:tr>
        <w:tc>
          <w:tcPr/>
          <w:p>
            <w:pPr>
              <w:pStyle w:val="Compact"/>
            </w:pPr>
            <w:r>
              <w:t xml:space="preserve">WTI 5-day trend</w:t>
            </w:r>
          </w:p>
        </w:tc>
        <w:tc>
          <w:tcPr/>
          <w:p>
            <w:pPr>
              <w:pStyle w:val="Compact"/>
            </w:pPr>
            <w:r>
              <w:t xml:space="preserve">0.612</w:t>
            </w:r>
          </w:p>
        </w:tc>
        <w:tc>
          <w:tcPr/>
          <w:p>
            <w:pPr>
              <w:pStyle w:val="Compact"/>
            </w:pPr>
          </w:p>
        </w:tc>
        <w:tc>
          <w:tcPr/>
          <w:p>
            <w:pPr>
              <w:pStyle w:val="Compact"/>
            </w:pPr>
            <w:r>
              <w:t xml:space="preserve">EIA</w:t>
            </w:r>
          </w:p>
        </w:tc>
      </w:tr>
      <w:tr>
        <w:tc>
          <w:tcPr/>
          <w:p>
            <w:pPr>
              <w:pStyle w:val="Compact"/>
            </w:pPr>
            <w:r>
              <w:t xml:space="preserve">Brent 5-day trend</w:t>
            </w:r>
          </w:p>
        </w:tc>
        <w:tc>
          <w:tcPr/>
          <w:p>
            <w:pPr>
              <w:pStyle w:val="Compact"/>
            </w:pPr>
            <w:r>
              <w:t xml:space="preserve">0.481</w:t>
            </w:r>
          </w:p>
        </w:tc>
        <w:tc>
          <w:tcPr/>
          <w:p>
            <w:pPr>
              <w:pStyle w:val="Compact"/>
            </w:pPr>
          </w:p>
        </w:tc>
        <w:tc>
          <w:tcPr/>
          <w:p>
            <w:pPr>
              <w:pStyle w:val="Compact"/>
            </w:pPr>
            <w:r>
              <w:t xml:space="preserve">EIA</w:t>
            </w:r>
          </w:p>
        </w:tc>
      </w:tr>
    </w:tbl>
    <w:bookmarkEnd w:id="10"/>
    <w:bookmarkStart w:id="11" w:name="prediction-signal"/>
    <w:p>
      <w:pPr>
        <w:pStyle w:val="Heading3"/>
      </w:pPr>
      <w:r>
        <w:t xml:space="preserve">Prediction Signal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Signal</w:t>
            </w:r>
          </w:p>
        </w:tc>
        <w:tc>
          <w:tcPr/>
          <w:p>
            <w:pPr>
              <w:pStyle w:val="Compact"/>
            </w:pPr>
            <w:r>
              <w:t xml:space="preserve">Score</w:t>
            </w:r>
          </w:p>
        </w:tc>
        <w:tc>
          <w:tcPr/>
          <w:p>
            <w:pPr>
              <w:pStyle w:val="Compact"/>
            </w:pPr>
            <w:r>
              <w:t xml:space="preserve">Weight</w:t>
            </w:r>
          </w:p>
        </w:tc>
      </w:tr>
      <w:tr>
        <w:tc>
          <w:tcPr/>
          <w:p>
            <w:pPr>
              <w:pStyle w:val="Compact"/>
            </w:pPr>
            <w:r>
              <w:t xml:space="preserve">News Sentiment</w:t>
            </w:r>
          </w:p>
        </w:tc>
        <w:tc>
          <w:tcPr/>
          <w:p>
            <w:pPr>
              <w:pStyle w:val="Compact"/>
            </w:pPr>
            <w:r>
              <w:t xml:space="preserve">-0.5</w:t>
            </w:r>
          </w:p>
        </w:tc>
        <w:tc>
          <w:tcPr/>
          <w:p>
            <w:pPr>
              <w:pStyle w:val="Compact"/>
            </w:pPr>
            <w:r>
              <w:t xml:space="preserve">40%</w:t>
            </w:r>
          </w:p>
        </w:tc>
      </w:tr>
      <w:tr>
        <w:tc>
          <w:tcPr/>
          <w:p>
            <w:pPr>
              <w:pStyle w:val="Compact"/>
            </w:pPr>
            <w:r>
              <w:t xml:space="preserve">EIA Price Trend</w:t>
            </w:r>
          </w:p>
        </w:tc>
        <w:tc>
          <w:tcPr/>
          <w:p>
            <w:pPr>
              <w:pStyle w:val="Compact"/>
            </w:pPr>
            <w:r>
              <w:t xml:space="preserve">0.546</w:t>
            </w:r>
          </w:p>
        </w:tc>
        <w:tc>
          <w:tcPr/>
          <w:p>
            <w:pPr>
              <w:pStyle w:val="Compact"/>
            </w:pPr>
            <w:r>
              <w:t xml:space="preserve">40%</w:t>
            </w:r>
          </w:p>
        </w:tc>
      </w:tr>
      <w:tr>
        <w:tc>
          <w:tcPr/>
          <w:p>
            <w:pPr>
              <w:pStyle w:val="Compact"/>
            </w:pPr>
            <w:r>
              <w:t xml:space="preserve">GDELT Tone</w:t>
            </w:r>
          </w:p>
        </w:tc>
        <w:tc>
          <w:tcPr/>
          <w:p>
            <w:pPr>
              <w:pStyle w:val="Compact"/>
            </w:pPr>
            <w:r>
              <w:t xml:space="preserve">-0.025</w:t>
            </w:r>
          </w:p>
        </w:tc>
        <w:tc>
          <w:tcPr/>
          <w:p>
            <w:pPr>
              <w:pStyle w:val="Compact"/>
            </w:pPr>
            <w:r>
              <w:t xml:space="preserve">20%</w:t>
            </w:r>
          </w:p>
        </w:tc>
      </w:tr>
      <w:tr>
        <w:tc>
          <w:tcPr/>
          <w:p>
            <w:pPr>
              <w:pStyle w:val="Compact"/>
            </w:pPr>
            <w:r>
              <w:rPr>
                <w:b/>
                <w:bCs/>
              </w:rPr>
              <w:t xml:space="preserve">Composite</w:t>
            </w:r>
          </w:p>
        </w:tc>
        <w:tc>
          <w:tcPr/>
          <w:p>
            <w:pPr>
              <w:pStyle w:val="Compact"/>
            </w:pPr>
            <w:r>
              <w:rPr>
                <w:b/>
                <w:bCs/>
              </w:rPr>
              <w:t xml:space="preserve">0.0135</w:t>
            </w:r>
          </w:p>
        </w:tc>
        <w:tc>
          <w:tcPr/>
          <w:p>
            <w:pPr>
              <w:pStyle w:val="Compact"/>
            </w:pPr>
          </w:p>
        </w:tc>
      </w:tr>
      <w:tr>
        <w:tc>
          <w:tcPr/>
          <w:p>
            <w:pPr>
              <w:pStyle w:val="Compact"/>
            </w:pPr>
            <w:r>
              <w:rPr>
                <w:b/>
                <w:bCs/>
              </w:rPr>
              <w:t xml:space="preserve">Direction</w:t>
            </w:r>
          </w:p>
        </w:tc>
        <w:tc>
          <w:tcPr/>
          <w:p>
            <w:pPr>
              <w:pStyle w:val="Compact"/>
            </w:pPr>
            <w:r>
              <w:rPr>
                <w:b/>
                <w:bCs/>
              </w:rPr>
              <w:t xml:space="preserve">NEUTRAL</w:t>
            </w:r>
          </w:p>
        </w:tc>
        <w:tc>
          <w:tcPr/>
          <w:p>
            <w:pPr>
              <w:pStyle w:val="Compact"/>
            </w:pPr>
          </w:p>
        </w:tc>
      </w:tr>
      <w:tr>
        <w:tc>
          <w:tcPr/>
          <w:p>
            <w:pPr>
              <w:pStyle w:val="Compact"/>
            </w:pPr>
            <w:r>
              <w:rPr>
                <w:b/>
                <w:bCs/>
              </w:rPr>
              <w:t xml:space="preserve">Confidence</w:t>
            </w:r>
          </w:p>
        </w:tc>
        <w:tc>
          <w:tcPr/>
          <w:p>
            <w:pPr>
              <w:pStyle w:val="Compact"/>
            </w:pPr>
            <w:r>
              <w:rPr>
                <w:b/>
                <w:bCs/>
              </w:rPr>
              <w:t xml:space="preserve">LOW</w:t>
            </w:r>
          </w:p>
        </w:tc>
        <w:tc>
          <w:tcPr/>
          <w:p>
            <w:pPr>
              <w:pStyle w:val="Compact"/>
            </w:pPr>
          </w:p>
        </w:tc>
      </w:tr>
    </w:tbl>
    <w:bookmarkEnd w:id="11"/>
    <w:bookmarkStart w:id="12" w:name="news-sentiment"/>
    <w:p>
      <w:pPr>
        <w:pStyle w:val="Heading3"/>
      </w:pPr>
      <w:r>
        <w:t xml:space="preserve">News Sentiment</w:t>
      </w:r>
    </w:p>
    <w:p>
      <w:pPr>
        <w:pStyle w:val="Compact"/>
        <w:numPr>
          <w:ilvl w:val="0"/>
          <w:numId w:val="1001"/>
        </w:numPr>
      </w:pPr>
      <w:r>
        <w:t xml:space="preserve">Bullish articles: 5</w:t>
      </w:r>
    </w:p>
    <w:p>
      <w:pPr>
        <w:pStyle w:val="Compact"/>
        <w:numPr>
          <w:ilvl w:val="0"/>
          <w:numId w:val="1001"/>
        </w:numPr>
      </w:pPr>
      <w:r>
        <w:t xml:space="preserve">Bearish articles: 23</w:t>
      </w:r>
    </w:p>
    <w:p>
      <w:pPr>
        <w:pStyle w:val="Compact"/>
        <w:numPr>
          <w:ilvl w:val="0"/>
          <w:numId w:val="1001"/>
        </w:numPr>
      </w:pPr>
      <w:r>
        <w:t xml:space="preserve">Neutral/Unclear: 8</w:t>
      </w:r>
    </w:p>
    <w:p>
      <w:pPr>
        <w:pStyle w:val="Compact"/>
        <w:numPr>
          <w:ilvl w:val="0"/>
          <w:numId w:val="1001"/>
        </w:numPr>
      </w:pPr>
      <w:r>
        <w:t xml:space="preserve">GDELT tone score: -0.255 (500 articles analysed)</w:t>
      </w:r>
    </w:p>
    <w:bookmarkEnd w:id="12"/>
    <w:bookmarkStart w:id="13" w:name="top-mentioned-organisations"/>
    <w:p>
      <w:pPr>
        <w:pStyle w:val="Heading3"/>
      </w:pPr>
      <w:r>
        <w:t xml:space="preserve">Top Mentioned Organisations</w:t>
      </w:r>
    </w:p>
    <w:p>
      <w:pPr>
        <w:pStyle w:val="Compact"/>
        <w:numPr>
          <w:ilvl w:val="0"/>
          <w:numId w:val="1002"/>
        </w:numPr>
      </w:pPr>
      <w:r>
        <w:t xml:space="preserve">Iran: 6 mentions</w:t>
      </w:r>
    </w:p>
    <w:p>
      <w:pPr>
        <w:pStyle w:val="Compact"/>
        <w:numPr>
          <w:ilvl w:val="0"/>
          <w:numId w:val="1002"/>
        </w:numPr>
      </w:pPr>
      <w:r>
        <w:t xml:space="preserve">Bloomberg: 5 mentions</w:t>
      </w:r>
    </w:p>
    <w:p>
      <w:pPr>
        <w:pStyle w:val="Compact"/>
        <w:numPr>
          <w:ilvl w:val="0"/>
          <w:numId w:val="1002"/>
        </w:numPr>
      </w:pPr>
      <w:r>
        <w:t xml:space="preserve">US: 3 mentions</w:t>
      </w:r>
    </w:p>
    <w:p>
      <w:pPr>
        <w:pStyle w:val="Compact"/>
        <w:numPr>
          <w:ilvl w:val="0"/>
          <w:numId w:val="1002"/>
        </w:numPr>
      </w:pPr>
      <w:r>
        <w:t xml:space="preserve">Gazprom: 2 mentions</w:t>
      </w:r>
    </w:p>
    <w:p>
      <w:pPr>
        <w:pStyle w:val="Compact"/>
        <w:numPr>
          <w:ilvl w:val="0"/>
          <w:numId w:val="1002"/>
        </w:numPr>
      </w:pPr>
      <w:r>
        <w:t xml:space="preserve">Shell: 2 mentions</w:t>
      </w:r>
    </w:p>
    <w:p>
      <w:pPr>
        <w:pStyle w:val="Compact"/>
        <w:numPr>
          <w:ilvl w:val="0"/>
          <w:numId w:val="1002"/>
        </w:numPr>
      </w:pPr>
      <w:r>
        <w:t xml:space="preserve">Aker BP: 2 mentions</w:t>
      </w:r>
    </w:p>
    <w:p>
      <w:pPr>
        <w:pStyle w:val="Compact"/>
        <w:numPr>
          <w:ilvl w:val="0"/>
          <w:numId w:val="1002"/>
        </w:numPr>
      </w:pPr>
      <w:r>
        <w:t xml:space="preserve">United States: 2 mentions</w:t>
      </w:r>
    </w:p>
    <w:p>
      <w:pPr>
        <w:pStyle w:val="Compact"/>
        <w:numPr>
          <w:ilvl w:val="0"/>
          <w:numId w:val="1002"/>
        </w:numPr>
      </w:pPr>
      <w:r>
        <w:t xml:space="preserve">SpaceX: 2 mentions</w:t>
      </w:r>
    </w:p>
    <w:bookmarkEnd w:id="13"/>
    <w:bookmarkStart w:id="14" w:name="most-relevant-news"/>
    <w:p>
      <w:pPr>
        <w:pStyle w:val="Heading3"/>
      </w:pPr>
      <w:r>
        <w:t xml:space="preserve">Most Relevant News</w:t>
      </w:r>
    </w:p>
    <w:p>
      <w:pPr>
        <w:pStyle w:val="Compact"/>
        <w:numPr>
          <w:ilvl w:val="0"/>
          <w:numId w:val="1003"/>
        </w:numPr>
      </w:pPr>
      <w:r>
        <w:t xml:space="preserve">[oilprice_news] Why Oil’s Supply Crunch Could Arrive Late (relevance: 0.54)</w:t>
      </w:r>
      <w:r>
        <w:t xml:space="preserve"> </w:t>
      </w:r>
      <w:r>
        <w:t xml:space="preserve">Why Oil’s Supply Crunch Could Arrive Late The oil market still looks surprisingly calm for a system that has spent nearly three months absorbing the largest supply disruption in modern history. That s</w:t>
      </w:r>
    </w:p>
    <w:p>
      <w:pPr>
        <w:pStyle w:val="Compact"/>
        <w:numPr>
          <w:ilvl w:val="0"/>
          <w:numId w:val="1003"/>
        </w:numPr>
      </w:pPr>
      <w:r>
        <w:t xml:space="preserve">[oilprice_news] Oil Prices Plunge Below $100 on Iran Deal Optimism (relevance: 0.49)</w:t>
      </w:r>
      <w:r>
        <w:t xml:space="preserve"> </w:t>
      </w:r>
      <w:r>
        <w:t xml:space="preserve">Oil Prices Plunge Below $100 on Iran Deal Optimism Oil prices plunged in early Asian trade on Monday following reports over the weekend that a deal to reopen the Strait of Hormuz was in its final stag</w:t>
      </w:r>
    </w:p>
    <w:p>
      <w:pPr>
        <w:pStyle w:val="Compact"/>
        <w:numPr>
          <w:ilvl w:val="0"/>
          <w:numId w:val="1003"/>
        </w:numPr>
      </w:pPr>
      <w:r>
        <w:t xml:space="preserve">[oilprice_news] Oil Prices Rise as Traders Grow Skeptical of U.S.-Iran Deal (relevance: 0.49)</w:t>
      </w:r>
      <w:r>
        <w:t xml:space="preserve"> </w:t>
      </w:r>
      <w:r>
        <w:t xml:space="preserve">Oil Prices Rise as Traders Grow Skeptical of U.S.-Iran Deal Oil prices climbed in early Asian trade on Friday as skepticism grew that U.S.-Iran negotiations would produce a breakthrough, with all the</w:t>
      </w:r>
    </w:p>
    <w:p>
      <w:pPr>
        <w:pStyle w:val="Compact"/>
        <w:numPr>
          <w:ilvl w:val="0"/>
          <w:numId w:val="1003"/>
        </w:numPr>
      </w:pPr>
      <w:r>
        <w:t xml:space="preserve">[oilprice_news] Oil Prices Rise as Iran Tempers U.S. Deal Hopes (relevance: 0.48)</w:t>
      </w:r>
      <w:r>
        <w:t xml:space="preserve"> </w:t>
      </w:r>
      <w:r>
        <w:t xml:space="preserve">Oil Prices Rise as Iran Tempers U.S. Deal Hopes Oil prices turned to a gain Friday after Iran poured cold water on growing market hopes for a near-term agreement with the United States, reminding trad</w:t>
      </w:r>
    </w:p>
    <w:p>
      <w:pPr>
        <w:pStyle w:val="Compact"/>
        <w:numPr>
          <w:ilvl w:val="0"/>
          <w:numId w:val="1003"/>
        </w:numPr>
      </w:pPr>
      <w:r>
        <w:t xml:space="preserve">[rigzone] Wood Mackenzie Warns Oil Could Hit $200 (relevance: 0.48)</w:t>
      </w:r>
      <w:r>
        <w:t xml:space="preserve"> </w:t>
      </w:r>
      <w:r>
        <w:t xml:space="preserve">Wood Mackenzie Warns Oil Could Hit $200 Wood Mackenzie said its analysis indicates that Brent crude prices could approach $200 per barrel by end-2026.</w:t>
      </w:r>
    </w:p>
    <w:p>
      <w:pPr>
        <w:pStyle w:val="Compact"/>
        <w:numPr>
          <w:ilvl w:val="0"/>
          <w:numId w:val="1003"/>
        </w:numPr>
      </w:pPr>
      <w:r>
        <w:t xml:space="preserve">[rigzone] Oil Near $100 Seen as Base Case for 2026 (relevance: 0.47)</w:t>
      </w:r>
      <w:r>
        <w:t xml:space="preserve"> </w:t>
      </w:r>
      <w:r>
        <w:t xml:space="preserve">Oil Near $100 Seen as Base Case for 2026 Oil market participants are increasingly pricing crude to be capped near $100 a barrel over the next year.</w:t>
      </w:r>
    </w:p>
    <w:p>
      <w:pPr>
        <w:pStyle w:val="Compact"/>
        <w:numPr>
          <w:ilvl w:val="0"/>
          <w:numId w:val="1003"/>
        </w:numPr>
      </w:pPr>
      <w:r>
        <w:t xml:space="preserve">[oilprice_news] ADNOC Warns Gulf Oil Disruptions Could Last Until 2027 (relevance: 0.45)</w:t>
      </w:r>
      <w:r>
        <w:t xml:space="preserve"> </w:t>
      </w:r>
      <w:r>
        <w:t xml:space="preserve">ADNOC Warns Gulf Oil Disruptions Could Last Until 2027 It still seems that oil markets are believing their own theories more than hard-hitting warnings from Arab national oil companies. Even with all</w:t>
      </w:r>
    </w:p>
    <w:p>
      <w:pPr>
        <w:pStyle w:val="Compact"/>
        <w:numPr>
          <w:ilvl w:val="0"/>
          <w:numId w:val="1003"/>
        </w:numPr>
      </w:pPr>
      <w:r>
        <w:t xml:space="preserve">[bloomberg_markets] MAIA: High Oil Price Offsets Saudi’s Export Volume Loss (relevance: 0.44)</w:t>
      </w:r>
      <w:r>
        <w:t xml:space="preserve"> </w:t>
      </w:r>
      <w:r>
        <w:t xml:space="preserve">MAIA: High Oil Price Offsets Saudi’s Export Volume Loss The ongoing war with Iran has severely disrupted the Middle East’s energy exports and trade routes. As a result, the supply of petrodollars that</w:t>
      </w:r>
    </w:p>
    <w:bookmarkEnd w:id="14"/>
    <w:bookmarkStart w:id="15" w:name="recent-extracted-events"/>
    <w:p>
      <w:pPr>
        <w:pStyle w:val="Heading3"/>
      </w:pPr>
      <w:r>
        <w:t xml:space="preserve">Recent Extracted Events</w:t>
      </w:r>
    </w:p>
    <w:p>
      <w:pPr>
        <w:pStyle w:val="Compact"/>
        <w:numPr>
          <w:ilvl w:val="0"/>
          <w:numId w:val="1004"/>
        </w:numPr>
      </w:pPr>
      <w:r>
        <w:t xml:space="preserve">[geopolitical] Closure of the Strait of Hormuz affecting oil and fuel flows (from: India Raises Fuel Prices for Fourth Time as Oil Crisis Hits )</w:t>
      </w:r>
    </w:p>
    <w:p>
      <w:pPr>
        <w:pStyle w:val="Compact"/>
        <w:numPr>
          <w:ilvl w:val="0"/>
          <w:numId w:val="1004"/>
        </w:numPr>
      </w:pPr>
      <w:r>
        <w:t xml:space="preserve">[supply_change] Gazprom Starts Production at Chona Fields in Eastern Siberia (from: Gazprom Starts Production at Chona Fields in Eastern Siberia)</w:t>
      </w:r>
    </w:p>
    <w:p>
      <w:pPr>
        <w:pStyle w:val="Compact"/>
        <w:numPr>
          <w:ilvl w:val="0"/>
          <w:numId w:val="1004"/>
        </w:numPr>
      </w:pPr>
      <w:r>
        <w:t xml:space="preserve">[] Eni Secures LNG Offtake Deals for Indonesia Projects (from: Eni Secures LNG Offtake Deals for Indonesia Projects)</w:t>
      </w:r>
    </w:p>
    <w:p>
      <w:pPr>
        <w:pStyle w:val="Compact"/>
        <w:numPr>
          <w:ilvl w:val="0"/>
          <w:numId w:val="1004"/>
        </w:numPr>
      </w:pPr>
      <w:r>
        <w:t xml:space="preserve">[geopolitical] More tankers make it through the Strait of Hormuz (from: More Tankers Make It Through the Strait of Hormuz)</w:t>
      </w:r>
    </w:p>
    <w:p>
      <w:pPr>
        <w:pStyle w:val="Compact"/>
        <w:numPr>
          <w:ilvl w:val="0"/>
          <w:numId w:val="1004"/>
        </w:numPr>
      </w:pPr>
      <w:r>
        <w:t xml:space="preserve">[geopolitical] Abu Dhabi National Oil Co. has been quietly ferrying oil and gas shipments out of the Persian Gulf using its own fleet, apparently clearing both the Iranian navy and US warships to reach energy-starve (from: Abu Dhabi, Qatar Quietly Slip More Tankers Through Hormuz)</w:t>
      </w:r>
    </w:p>
    <w:p>
      <w:pPr>
        <w:pStyle w:val="Compact"/>
        <w:numPr>
          <w:ilvl w:val="0"/>
          <w:numId w:val="1004"/>
        </w:numPr>
      </w:pPr>
      <w:r>
        <w:t xml:space="preserve">[policy] US allows ships sanctioned over Iran to be scrapped (from: Buyer Says US Allows Ships Sanctioned Over Iran to Be Scrapp)</w:t>
      </w:r>
    </w:p>
    <w:p>
      <w:pPr>
        <w:pStyle w:val="Compact"/>
        <w:numPr>
          <w:ilvl w:val="0"/>
          <w:numId w:val="1004"/>
        </w:numPr>
      </w:pPr>
      <w:r>
        <w:t xml:space="preserve">[geopolitical] Strait of Hormuz blockade (from: US consumers face looming spending squeeze as Trump tax reba)</w:t>
      </w:r>
    </w:p>
    <w:p>
      <w:pPr>
        <w:pStyle w:val="Compact"/>
        <w:numPr>
          <w:ilvl w:val="0"/>
          <w:numId w:val="1004"/>
        </w:numPr>
      </w:pPr>
      <w:r>
        <w:t xml:space="preserve">[] Iran war squeezes sulphur supplies (from: Fertiliser groups cut production as Iran war squeezes sulphu)</w:t>
      </w:r>
    </w:p>
    <w:bookmarkEnd w:id="15"/>
    <w:bookmarkStart w:id="16" w:name="eia-market-data"/>
    <w:p>
      <w:pPr>
        <w:pStyle w:val="Heading3"/>
      </w:pPr>
      <w:r>
        <w:t xml:space="preserve">EIA Market Data</w:t>
      </w:r>
    </w:p>
    <w:p>
      <w:pPr>
        <w:pStyle w:val="Compact"/>
        <w:numPr>
          <w:ilvl w:val="0"/>
          <w:numId w:val="1005"/>
        </w:numPr>
      </w:pPr>
      <w:r>
        <w:t xml:space="preserve">US Crude Inventory (latest weekly): from EIA series PET.WCESTUS1.W</w:t>
      </w:r>
    </w:p>
    <w:p>
      <w:pPr>
        <w:pStyle w:val="Compact"/>
        <w:numPr>
          <w:ilvl w:val="0"/>
          <w:numId w:val="1005"/>
        </w:numPr>
      </w:pPr>
      <w:r>
        <w:t xml:space="preserve">US Crude Production (latest weekly): from EIA series PET.WCRFPUS2.W</w:t>
      </w:r>
    </w:p>
    <w:p>
      <w:pPr>
        <w:pStyle w:val="FirstParagraph"/>
      </w:pPr>
      <w:r>
        <w:rPr>
          <w:i/>
          <w:iCs/>
        </w:rPr>
        <w:t xml:space="preserve">Report generated: 2026-05-25 10:08 UTC</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2026-05-25T10:08:47Z</dcterms:created>
  <dcterms:modified xsi:type="dcterms:W3CDTF">2026-05-25T10:08:47Z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ent">
    <vt:lpwstr>97.78 (2026-05-25)</vt:lpwstr>
  </property>
  <property fmtid="{D5CDD505-2E9C-101B-9397-08002B2CF9AE}" pid="3" name="confidence">
    <vt:lpwstr>low</vt:lpwstr>
  </property>
  <property fmtid="{D5CDD505-2E9C-101B-9397-08002B2CF9AE}" pid="4" name="direction">
    <vt:lpwstr>neutral</vt:lpwstr>
  </property>
  <property fmtid="{D5CDD505-2E9C-101B-9397-08002B2CF9AE}" pid="5" name="generated_at">
    <vt:lpwstr>2026-05-25T10:08:44.248506+00:00</vt:lpwstr>
  </property>
  <property fmtid="{D5CDD505-2E9C-101B-9397-08002B2CF9AE}" pid="6" name="score">
    <vt:lpwstr>1.35e-2</vt:lpwstr>
  </property>
  <property fmtid="{D5CDD505-2E9C-101B-9397-08002B2CF9AE}" pid="7" name="wti">
    <vt:lpwstr>91.12 (2026-05-25)</vt:lpwstr>
  </property>
</Properties>
</file>