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25/05/2026, 10AM, London</w:t>
      </w:r>
    </w:p>
    <w:p>
      <w:pPr>
        <w:pStyle w:val="BodyText"/>
      </w:pPr>
      <w:r>
        <w:t xml:space="preserve">Brent’s at $97.79 and WTI’s at $90.93 - not a bad start to the week, but I’m still cautious about getting too excited. We’ve got some decent price action in the majors, with Brent up 0.481% over the last five days and WTI up 0.612%. But let’s not get ahead of ourselves here - we’re still in a neutral market, according to my models.</w:t>
      </w:r>
    </w:p>
    <w:p>
      <w:pPr>
        <w:pStyle w:val="BodyText"/>
      </w:pPr>
      <w:r>
        <w:t xml:space="preserve">The news sentiment is bearish, with 23 out of 36 articles I’ve analyzed having a negative tone. And it’s all about geopolitics, as usual. Iran’s back in the headlines, and I think markets will likely remain sensitive to any developments on that front. The Strait of Hormuz closure is still a major concern, and we’re seeing some interesting price action on the spreads - WTI’s got a slight backwardation going on, which could be a sign of tightening supplies.</w:t>
      </w:r>
    </w:p>
    <w:p>
      <w:pPr>
        <w:pStyle w:val="BodyText"/>
      </w:pPr>
      <w:r>
        <w:t xml:space="preserve">But what really caught my eye was Wood Mackenzie’s warning about Brent hitting $200 by year-end. Now, I’m not saying that’s impossible, but it’s definitely a stretch. My view is that we’ll see some volatility in the next few weeks as markets try to price in all these different scenarios - Iran deal or no deal, OPEC+ production cuts, and of course, the ongoing Ukraine-Russia conflict.</w:t>
      </w:r>
    </w:p>
    <w:p>
      <w:pPr>
        <w:pStyle w:val="BodyText"/>
      </w:pPr>
      <w:r>
        <w:t xml:space="preserve">Watch out for Gazprom’s production numbers coming up later today - if they’re strong, it could put pressure on prices. And let’s not forget about ADNOC’s warning that Gulf oil disruptions could last until 2027. That’s a pretty dire outlook, and I think markets will likely take it seriously.</w:t>
      </w:r>
    </w:p>
    <w:bookmarkStart w:id="9" w:name="X6e94cbe4a090f00aaa9cadd86c4c5cf582ca040"/>
    <w:p>
      <w:pPr>
        <w:pStyle w:val="Heading2"/>
      </w:pPr>
      <w:r>
        <w:t xml:space="preserve">For the next 12-24 hours, my outlook is cautious bullish. We’ve got some decent price action in the majors, but I’m still worried about geopolitics. If we see any positive developments on the Iran front or if OPEC+ decides to cut production, prices could jump pretty quickly. But for now, I think it’s a case of wait and see - let’s see how markets react to all these different scenarios playing out.</w:t>
      </w:r>
    </w:p>
    <w:bookmarkEnd w:id="9"/>
    <w:bookmarkStart w:id="17" w:name="data-appendix"/>
    <w:p>
      <w:pPr>
        <w:pStyle w:val="Heading2"/>
      </w:pPr>
      <w:r>
        <w:t xml:space="preserve">Data Appendix</w:t>
      </w:r>
    </w:p>
    <w:bookmarkStart w:id="10" w:name="price-data"/>
    <w:p>
      <w:pPr>
        <w:pStyle w:val="Heading3"/>
      </w:pPr>
      <w:r>
        <w:t xml:space="preserve">Price Data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Value</w:t>
            </w:r>
          </w:p>
        </w:tc>
        <w:tc>
          <w:tcPr/>
          <w:p>
            <w:pPr>
              <w:pStyle w:val="Compact"/>
            </w:pPr>
            <w:r>
              <w:t xml:space="preserve">Period</w:t>
            </w:r>
          </w:p>
        </w:tc>
        <w:tc>
          <w:tcPr/>
          <w:p>
            <w:pPr>
              <w:pStyle w:val="Compact"/>
            </w:pPr>
            <w:r>
              <w:t xml:space="preserve">Source</w:t>
            </w:r>
          </w:p>
        </w:tc>
      </w:tr>
      <w:tr>
        <w:tc>
          <w:tcPr/>
          <w:p>
            <w:pPr>
              <w:pStyle w:val="Compact"/>
            </w:pPr>
            <w:r>
              <w:t xml:space="preserve">Brent Crude</w:t>
            </w:r>
          </w:p>
        </w:tc>
        <w:tc>
          <w:tcPr/>
          <w:p>
            <w:pPr>
              <w:pStyle w:val="Compact"/>
            </w:pPr>
            <w:r>
              <w:t xml:space="preserve">$97.79</w:t>
            </w:r>
          </w:p>
        </w:tc>
        <w:tc>
          <w:tcPr/>
          <w:p>
            <w:pPr>
              <w:pStyle w:val="Compact"/>
            </w:pPr>
            <w:r>
              <w:t xml:space="preserve">2026-05-25</w:t>
            </w:r>
          </w:p>
        </w:tc>
        <w:tc>
          <w:tcPr/>
          <w:p>
            <w:pPr>
              <w:pStyle w:val="Compact"/>
            </w:pPr>
            <w:r>
              <w:t xml:space="preserve">LIVE</w:t>
            </w:r>
          </w:p>
        </w:tc>
      </w:tr>
      <w:tr>
        <w:tc>
          <w:tcPr/>
          <w:p>
            <w:pPr>
              <w:pStyle w:val="Compact"/>
            </w:pPr>
            <w:r>
              <w:t xml:space="preserve">WTI Crude</w:t>
            </w:r>
          </w:p>
        </w:tc>
        <w:tc>
          <w:tcPr/>
          <w:p>
            <w:pPr>
              <w:pStyle w:val="Compact"/>
            </w:pPr>
            <w:r>
              <w:t xml:space="preserve">$90.93</w:t>
            </w:r>
          </w:p>
        </w:tc>
        <w:tc>
          <w:tcPr/>
          <w:p>
            <w:pPr>
              <w:pStyle w:val="Compact"/>
            </w:pPr>
            <w:r>
              <w:t xml:space="preserve">2026-05-25</w:t>
            </w:r>
          </w:p>
        </w:tc>
        <w:tc>
          <w:tcPr/>
          <w:p>
            <w:pPr>
              <w:pStyle w:val="Compact"/>
            </w:pPr>
            <w:r>
              <w:t xml:space="preserve">LIVE</w:t>
            </w:r>
          </w:p>
        </w:tc>
      </w:tr>
      <w:tr>
        <w:tc>
          <w:tcPr/>
          <w:p>
            <w:pPr>
              <w:pStyle w:val="Compact"/>
            </w:pPr>
            <w:r>
              <w:t xml:space="preserve">WTI 5-day trend</w:t>
            </w:r>
          </w:p>
        </w:tc>
        <w:tc>
          <w:tcPr/>
          <w:p>
            <w:pPr>
              <w:pStyle w:val="Compact"/>
            </w:pPr>
            <w:r>
              <w:t xml:space="preserve">0.612</w:t>
            </w:r>
          </w:p>
        </w:tc>
        <w:tc>
          <w:tcPr/>
          <w:p>
            <w:pPr>
              <w:pStyle w:val="Compact"/>
            </w:pPr>
          </w:p>
        </w:tc>
        <w:tc>
          <w:tcPr/>
          <w:p>
            <w:pPr>
              <w:pStyle w:val="Compact"/>
            </w:pPr>
            <w:r>
              <w:t xml:space="preserve">EIA</w:t>
            </w:r>
          </w:p>
        </w:tc>
      </w:tr>
      <w:tr>
        <w:tc>
          <w:tcPr/>
          <w:p>
            <w:pPr>
              <w:pStyle w:val="Compact"/>
            </w:pPr>
            <w:r>
              <w:t xml:space="preserve">Brent 5-day trend</w:t>
            </w:r>
          </w:p>
        </w:tc>
        <w:tc>
          <w:tcPr/>
          <w:p>
            <w:pPr>
              <w:pStyle w:val="Compact"/>
            </w:pPr>
            <w:r>
              <w:t xml:space="preserve">0.481</w:t>
            </w:r>
          </w:p>
        </w:tc>
        <w:tc>
          <w:tcPr/>
          <w:p>
            <w:pPr>
              <w:pStyle w:val="Compact"/>
            </w:pPr>
          </w:p>
        </w:tc>
        <w:tc>
          <w:tcPr/>
          <w:p>
            <w:pPr>
              <w:pStyle w:val="Compact"/>
            </w:pPr>
            <w:r>
              <w:t xml:space="preserve">EIA</w:t>
            </w:r>
          </w:p>
        </w:tc>
      </w:tr>
    </w:tbl>
    <w:bookmarkEnd w:id="10"/>
    <w:bookmarkStart w:id="11" w:name="prediction-signal"/>
    <w:p>
      <w:pPr>
        <w:pStyle w:val="Heading3"/>
      </w:pPr>
      <w:r>
        <w:t xml:space="preserve">Prediction Signal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Signal</w:t>
            </w:r>
          </w:p>
        </w:tc>
        <w:tc>
          <w:tcPr/>
          <w:p>
            <w:pPr>
              <w:pStyle w:val="Compact"/>
            </w:pPr>
            <w:r>
              <w:t xml:space="preserve">Score</w:t>
            </w:r>
          </w:p>
        </w:tc>
        <w:tc>
          <w:tcPr/>
          <w:p>
            <w:pPr>
              <w:pStyle w:val="Compact"/>
            </w:pPr>
            <w:r>
              <w:t xml:space="preserve">Weight</w:t>
            </w:r>
          </w:p>
        </w:tc>
      </w:tr>
      <w:tr>
        <w:tc>
          <w:tcPr/>
          <w:p>
            <w:pPr>
              <w:pStyle w:val="Compact"/>
            </w:pPr>
            <w:r>
              <w:t xml:space="preserve">News Sentiment</w:t>
            </w:r>
          </w:p>
        </w:tc>
        <w:tc>
          <w:tcPr/>
          <w:p>
            <w:pPr>
              <w:pStyle w:val="Compact"/>
            </w:pPr>
            <w:r>
              <w:t xml:space="preserve">-0.5</w:t>
            </w:r>
          </w:p>
        </w:tc>
        <w:tc>
          <w:tcPr/>
          <w:p>
            <w:pPr>
              <w:pStyle w:val="Compact"/>
            </w:pPr>
            <w:r>
              <w:t xml:space="preserve">40%</w:t>
            </w:r>
          </w:p>
        </w:tc>
      </w:tr>
      <w:tr>
        <w:tc>
          <w:tcPr/>
          <w:p>
            <w:pPr>
              <w:pStyle w:val="Compact"/>
            </w:pPr>
            <w:r>
              <w:t xml:space="preserve">EIA Price Trend</w:t>
            </w:r>
          </w:p>
        </w:tc>
        <w:tc>
          <w:tcPr/>
          <w:p>
            <w:pPr>
              <w:pStyle w:val="Compact"/>
            </w:pPr>
            <w:r>
              <w:t xml:space="preserve">0.546</w:t>
            </w:r>
          </w:p>
        </w:tc>
        <w:tc>
          <w:tcPr/>
          <w:p>
            <w:pPr>
              <w:pStyle w:val="Compact"/>
            </w:pPr>
            <w:r>
              <w:t xml:space="preserve">40%</w:t>
            </w:r>
          </w:p>
        </w:tc>
      </w:tr>
      <w:tr>
        <w:tc>
          <w:tcPr/>
          <w:p>
            <w:pPr>
              <w:pStyle w:val="Compact"/>
            </w:pPr>
            <w:r>
              <w:t xml:space="preserve">GDELT Tone</w:t>
            </w:r>
          </w:p>
        </w:tc>
        <w:tc>
          <w:tcPr/>
          <w:p>
            <w:pPr>
              <w:pStyle w:val="Compact"/>
            </w:pPr>
            <w:r>
              <w:t xml:space="preserve">-0.025</w:t>
            </w:r>
          </w:p>
        </w:tc>
        <w:tc>
          <w:tcPr/>
          <w:p>
            <w:pPr>
              <w:pStyle w:val="Compact"/>
            </w:pPr>
            <w:r>
              <w:t xml:space="preserve">20%</w:t>
            </w:r>
          </w:p>
        </w:tc>
      </w:tr>
      <w:tr>
        <w:tc>
          <w:tcPr/>
          <w:p>
            <w:pPr>
              <w:pStyle w:val="Compact"/>
            </w:pPr>
            <w:r>
              <w:rPr>
                <w:b/>
                <w:bCs/>
              </w:rPr>
              <w:t xml:space="preserve">Composite</w:t>
            </w:r>
          </w:p>
        </w:tc>
        <w:tc>
          <w:tcPr/>
          <w:p>
            <w:pPr>
              <w:pStyle w:val="Compact"/>
            </w:pPr>
            <w:r>
              <w:rPr>
                <w:b/>
                <w:bCs/>
              </w:rPr>
              <w:t xml:space="preserve">0.0135</w:t>
            </w:r>
          </w:p>
        </w:tc>
        <w:tc>
          <w:tcPr/>
          <w:p>
            <w:pPr>
              <w:pStyle w:val="Compact"/>
            </w:pPr>
          </w:p>
        </w:tc>
      </w:tr>
      <w:tr>
        <w:tc>
          <w:tcPr/>
          <w:p>
            <w:pPr>
              <w:pStyle w:val="Compact"/>
            </w:pPr>
            <w:r>
              <w:rPr>
                <w:b/>
                <w:bCs/>
              </w:rPr>
              <w:t xml:space="preserve">Direction</w:t>
            </w:r>
          </w:p>
        </w:tc>
        <w:tc>
          <w:tcPr/>
          <w:p>
            <w:pPr>
              <w:pStyle w:val="Compact"/>
            </w:pPr>
            <w:r>
              <w:rPr>
                <w:b/>
                <w:bCs/>
              </w:rPr>
              <w:t xml:space="preserve">NEUTRAL</w:t>
            </w:r>
          </w:p>
        </w:tc>
        <w:tc>
          <w:tcPr/>
          <w:p>
            <w:pPr>
              <w:pStyle w:val="Compact"/>
            </w:pPr>
          </w:p>
        </w:tc>
      </w:tr>
      <w:tr>
        <w:tc>
          <w:tcPr/>
          <w:p>
            <w:pPr>
              <w:pStyle w:val="Compact"/>
            </w:pPr>
            <w:r>
              <w:rPr>
                <w:b/>
                <w:bCs/>
              </w:rPr>
              <w:t xml:space="preserve">Confidence</w:t>
            </w:r>
          </w:p>
        </w:tc>
        <w:tc>
          <w:tcPr/>
          <w:p>
            <w:pPr>
              <w:pStyle w:val="Compact"/>
            </w:pPr>
            <w:r>
              <w:rPr>
                <w:b/>
                <w:bCs/>
              </w:rPr>
              <w:t xml:space="preserve">LOW</w:t>
            </w:r>
          </w:p>
        </w:tc>
        <w:tc>
          <w:tcPr/>
          <w:p>
            <w:pPr>
              <w:pStyle w:val="Compact"/>
            </w:pPr>
          </w:p>
        </w:tc>
      </w:tr>
    </w:tbl>
    <w:bookmarkEnd w:id="11"/>
    <w:bookmarkStart w:id="12" w:name="news-sentiment"/>
    <w:p>
      <w:pPr>
        <w:pStyle w:val="Heading3"/>
      </w:pPr>
      <w:r>
        <w:t xml:space="preserve">News Sentiment</w:t>
      </w:r>
    </w:p>
    <w:p>
      <w:pPr>
        <w:pStyle w:val="Compact"/>
        <w:numPr>
          <w:ilvl w:val="0"/>
          <w:numId w:val="1001"/>
        </w:numPr>
      </w:pPr>
      <w:r>
        <w:t xml:space="preserve">Bullish articles: 5</w:t>
      </w:r>
    </w:p>
    <w:p>
      <w:pPr>
        <w:pStyle w:val="Compact"/>
        <w:numPr>
          <w:ilvl w:val="0"/>
          <w:numId w:val="1001"/>
        </w:numPr>
      </w:pPr>
      <w:r>
        <w:t xml:space="preserve">Bearish articles: 23</w:t>
      </w:r>
    </w:p>
    <w:p>
      <w:pPr>
        <w:pStyle w:val="Compact"/>
        <w:numPr>
          <w:ilvl w:val="0"/>
          <w:numId w:val="1001"/>
        </w:numPr>
      </w:pPr>
      <w:r>
        <w:t xml:space="preserve">Neutral/Unclear: 8</w:t>
      </w:r>
    </w:p>
    <w:p>
      <w:pPr>
        <w:pStyle w:val="Compact"/>
        <w:numPr>
          <w:ilvl w:val="0"/>
          <w:numId w:val="1001"/>
        </w:numPr>
      </w:pPr>
      <w:r>
        <w:t xml:space="preserve">GDELT tone score: -0.255 (500 articles analysed)</w:t>
      </w:r>
    </w:p>
    <w:bookmarkEnd w:id="12"/>
    <w:bookmarkStart w:id="13" w:name="top-mentioned-organisations"/>
    <w:p>
      <w:pPr>
        <w:pStyle w:val="Heading3"/>
      </w:pPr>
      <w:r>
        <w:t xml:space="preserve">Top Mentioned Organisations</w:t>
      </w:r>
    </w:p>
    <w:p>
      <w:pPr>
        <w:pStyle w:val="Compact"/>
        <w:numPr>
          <w:ilvl w:val="0"/>
          <w:numId w:val="1002"/>
        </w:numPr>
      </w:pPr>
      <w:r>
        <w:t xml:space="preserve">Iran: 6 mentions</w:t>
      </w:r>
    </w:p>
    <w:p>
      <w:pPr>
        <w:pStyle w:val="Compact"/>
        <w:numPr>
          <w:ilvl w:val="0"/>
          <w:numId w:val="1002"/>
        </w:numPr>
      </w:pPr>
      <w:r>
        <w:t xml:space="preserve">Bloomberg: 5 mentions</w:t>
      </w:r>
    </w:p>
    <w:p>
      <w:pPr>
        <w:pStyle w:val="Compact"/>
        <w:numPr>
          <w:ilvl w:val="0"/>
          <w:numId w:val="1002"/>
        </w:numPr>
      </w:pPr>
      <w:r>
        <w:t xml:space="preserve">US: 3 mentions</w:t>
      </w:r>
    </w:p>
    <w:p>
      <w:pPr>
        <w:pStyle w:val="Compact"/>
        <w:numPr>
          <w:ilvl w:val="0"/>
          <w:numId w:val="1002"/>
        </w:numPr>
      </w:pPr>
      <w:r>
        <w:t xml:space="preserve">Gazprom: 2 mentions</w:t>
      </w:r>
    </w:p>
    <w:p>
      <w:pPr>
        <w:pStyle w:val="Compact"/>
        <w:numPr>
          <w:ilvl w:val="0"/>
          <w:numId w:val="1002"/>
        </w:numPr>
      </w:pPr>
      <w:r>
        <w:t xml:space="preserve">UAE: 2 mentions</w:t>
      </w:r>
    </w:p>
    <w:p>
      <w:pPr>
        <w:pStyle w:val="Compact"/>
        <w:numPr>
          <w:ilvl w:val="0"/>
          <w:numId w:val="1002"/>
        </w:numPr>
      </w:pPr>
      <w:r>
        <w:t xml:space="preserve">Shell: 2 mentions</w:t>
      </w:r>
    </w:p>
    <w:p>
      <w:pPr>
        <w:pStyle w:val="Compact"/>
        <w:numPr>
          <w:ilvl w:val="0"/>
          <w:numId w:val="1002"/>
        </w:numPr>
      </w:pPr>
      <w:r>
        <w:t xml:space="preserve">Aker BP: 2 mentions</w:t>
      </w:r>
    </w:p>
    <w:p>
      <w:pPr>
        <w:pStyle w:val="Compact"/>
        <w:numPr>
          <w:ilvl w:val="0"/>
          <w:numId w:val="1002"/>
        </w:numPr>
      </w:pPr>
      <w:r>
        <w:t xml:space="preserve">United States: 2 mentions</w:t>
      </w:r>
    </w:p>
    <w:bookmarkEnd w:id="13"/>
    <w:bookmarkStart w:id="14" w:name="most-relevant-news"/>
    <w:p>
      <w:pPr>
        <w:pStyle w:val="Heading3"/>
      </w:pPr>
      <w:r>
        <w:t xml:space="preserve">Most Relevant News</w:t>
      </w:r>
    </w:p>
    <w:p>
      <w:pPr>
        <w:pStyle w:val="Compact"/>
        <w:numPr>
          <w:ilvl w:val="0"/>
          <w:numId w:val="1003"/>
        </w:numPr>
      </w:pPr>
      <w:r>
        <w:t xml:space="preserve">[oilprice_news] Why Oil’s Supply Crunch Could Arrive Late (relevance: 0.54)</w:t>
      </w:r>
      <w:r>
        <w:t xml:space="preserve"> </w:t>
      </w:r>
      <w:r>
        <w:t xml:space="preserve">Why Oil’s Supply Crunch Could Arrive Late The oil market still looks surprisingly calm for a system that has spent nearly three months absorbing the largest supply disruption in modern history. That s</w:t>
      </w:r>
    </w:p>
    <w:p>
      <w:pPr>
        <w:pStyle w:val="Compact"/>
        <w:numPr>
          <w:ilvl w:val="0"/>
          <w:numId w:val="1003"/>
        </w:numPr>
      </w:pPr>
      <w:r>
        <w:t xml:space="preserve">[oilprice_news] Oil Prices Plunge Below $100 on Iran Deal Optimism (relevance: 0.49)</w:t>
      </w:r>
      <w:r>
        <w:t xml:space="preserve"> </w:t>
      </w:r>
      <w:r>
        <w:t xml:space="preserve">Oil Prices Plunge Below $100 on Iran Deal Optimism Oil prices plunged in early Asian trade on Monday following reports over the weekend that a deal to reopen the Strait of Hormuz was in its final stag</w:t>
      </w:r>
    </w:p>
    <w:p>
      <w:pPr>
        <w:pStyle w:val="Compact"/>
        <w:numPr>
          <w:ilvl w:val="0"/>
          <w:numId w:val="1003"/>
        </w:numPr>
      </w:pPr>
      <w:r>
        <w:t xml:space="preserve">[oilprice_news] Oil Prices Rise as Traders Grow Skeptical of U.S.-Iran Deal (relevance: 0.49)</w:t>
      </w:r>
      <w:r>
        <w:t xml:space="preserve"> </w:t>
      </w:r>
      <w:r>
        <w:t xml:space="preserve">Oil Prices Rise as Traders Grow Skeptical of U.S.-Iran Deal Oil prices climbed in early Asian trade on Friday as skepticism grew that U.S.-Iran negotiations would produce a breakthrough, with all the</w:t>
      </w:r>
    </w:p>
    <w:p>
      <w:pPr>
        <w:pStyle w:val="Compact"/>
        <w:numPr>
          <w:ilvl w:val="0"/>
          <w:numId w:val="1003"/>
        </w:numPr>
      </w:pPr>
      <w:r>
        <w:t xml:space="preserve">[oilprice_news] Oil Prices Rise as Iran Tempers U.S. Deal Hopes (relevance: 0.48)</w:t>
      </w:r>
      <w:r>
        <w:t xml:space="preserve"> </w:t>
      </w:r>
      <w:r>
        <w:t xml:space="preserve">Oil Prices Rise as Iran Tempers U.S. Deal Hopes Oil prices turned to a gain Friday after Iran poured cold water on growing market hopes for a near-term agreement with the United States, reminding trad</w:t>
      </w:r>
    </w:p>
    <w:p>
      <w:pPr>
        <w:pStyle w:val="Compact"/>
        <w:numPr>
          <w:ilvl w:val="0"/>
          <w:numId w:val="1003"/>
        </w:numPr>
      </w:pPr>
      <w:r>
        <w:t xml:space="preserve">[rigzone] Wood Mackenzie Warns Oil Could Hit $200 (relevance: 0.48)</w:t>
      </w:r>
      <w:r>
        <w:t xml:space="preserve"> </w:t>
      </w:r>
      <w:r>
        <w:t xml:space="preserve">Wood Mackenzie Warns Oil Could Hit $200 Wood Mackenzie said its analysis indicates that Brent crude prices could approach $200 per barrel by end-2026.</w:t>
      </w:r>
    </w:p>
    <w:p>
      <w:pPr>
        <w:pStyle w:val="Compact"/>
        <w:numPr>
          <w:ilvl w:val="0"/>
          <w:numId w:val="1003"/>
        </w:numPr>
      </w:pPr>
      <w:r>
        <w:t xml:space="preserve">[rigzone] Oil Near $100 Seen as Base Case for 2026 (relevance: 0.47)</w:t>
      </w:r>
      <w:r>
        <w:t xml:space="preserve"> </w:t>
      </w:r>
      <w:r>
        <w:t xml:space="preserve">Oil Near $100 Seen as Base Case for 2026 Oil market participants are increasingly pricing crude to be capped near $100 a barrel over the next year.</w:t>
      </w:r>
    </w:p>
    <w:p>
      <w:pPr>
        <w:pStyle w:val="Compact"/>
        <w:numPr>
          <w:ilvl w:val="0"/>
          <w:numId w:val="1003"/>
        </w:numPr>
      </w:pPr>
      <w:r>
        <w:t xml:space="preserve">[oilprice_news] ADNOC Warns Gulf Oil Disruptions Could Last Until 2027 (relevance: 0.45)</w:t>
      </w:r>
      <w:r>
        <w:t xml:space="preserve"> </w:t>
      </w:r>
      <w:r>
        <w:t xml:space="preserve">ADNOC Warns Gulf Oil Disruptions Could Last Until 2027 It still seems that oil markets are believing their own theories more than hard-hitting warnings from Arab national oil companies. Even with all</w:t>
      </w:r>
    </w:p>
    <w:p>
      <w:pPr>
        <w:pStyle w:val="Compact"/>
        <w:numPr>
          <w:ilvl w:val="0"/>
          <w:numId w:val="1003"/>
        </w:numPr>
      </w:pPr>
      <w:r>
        <w:t xml:space="preserve">[bloomberg_markets] MAIA: High Oil Price Offsets Saudi’s Export Volume Loss (relevance: 0.44)</w:t>
      </w:r>
      <w:r>
        <w:t xml:space="preserve"> </w:t>
      </w:r>
      <w:r>
        <w:t xml:space="preserve">MAIA: High Oil Price Offsets Saudi’s Export Volume Loss The ongoing war with Iran has severely disrupted the Middle East’s energy exports and trade routes. As a result, the supply of petrodollars that</w:t>
      </w:r>
    </w:p>
    <w:bookmarkEnd w:id="14"/>
    <w:bookmarkStart w:id="15" w:name="recent-extracted-events"/>
    <w:p>
      <w:pPr>
        <w:pStyle w:val="Heading3"/>
      </w:pPr>
      <w:r>
        <w:t xml:space="preserve">Recent Extracted Events</w:t>
      </w:r>
    </w:p>
    <w:p>
      <w:pPr>
        <w:pStyle w:val="Compact"/>
        <w:numPr>
          <w:ilvl w:val="0"/>
          <w:numId w:val="1004"/>
        </w:numPr>
      </w:pPr>
      <w:r>
        <w:t xml:space="preserve">[geopolitical] Closure of the Strait of Hormuz affecting oil and fuel flows (from: India Raises Fuel Prices for Fourth Time as Oil Crisis Hits )</w:t>
      </w:r>
    </w:p>
    <w:p>
      <w:pPr>
        <w:pStyle w:val="Compact"/>
        <w:numPr>
          <w:ilvl w:val="0"/>
          <w:numId w:val="1004"/>
        </w:numPr>
      </w:pPr>
      <w:r>
        <w:t xml:space="preserve">[supply_change] Gazprom Starts Production at Chona Fields in Eastern Siberia (from: Gazprom Starts Production at Chona Fields in Eastern Siberia)</w:t>
      </w:r>
    </w:p>
    <w:p>
      <w:pPr>
        <w:pStyle w:val="Compact"/>
        <w:numPr>
          <w:ilvl w:val="0"/>
          <w:numId w:val="1004"/>
        </w:numPr>
      </w:pPr>
      <w:r>
        <w:t xml:space="preserve">[] Eni Secures LNG Offtake Deals for Indonesia Projects (from: Eni Secures LNG Offtake Deals for Indonesia Projects)</w:t>
      </w:r>
    </w:p>
    <w:p>
      <w:pPr>
        <w:pStyle w:val="Compact"/>
        <w:numPr>
          <w:ilvl w:val="0"/>
          <w:numId w:val="1004"/>
        </w:numPr>
      </w:pPr>
      <w:r>
        <w:t xml:space="preserve">[geopolitical] More tankers make it through the Strait of Hormuz (from: More Tankers Make It Through the Strait of Hormuz)</w:t>
      </w:r>
    </w:p>
    <w:p>
      <w:pPr>
        <w:pStyle w:val="Compact"/>
        <w:numPr>
          <w:ilvl w:val="0"/>
          <w:numId w:val="1004"/>
        </w:numPr>
      </w:pPr>
      <w:r>
        <w:t xml:space="preserve">[geopolitical] Abu Dhabi National Oil Co. has been quietly ferrying oil and gas shipments out of the Persian Gulf using its own fleet, apparently clearing both the Iranian navy and US warships to reach energy-starve (from: Abu Dhabi, Qatar Quietly Slip More Tankers Through Hormuz)</w:t>
      </w:r>
    </w:p>
    <w:p>
      <w:pPr>
        <w:pStyle w:val="Compact"/>
        <w:numPr>
          <w:ilvl w:val="0"/>
          <w:numId w:val="1004"/>
        </w:numPr>
      </w:pPr>
      <w:r>
        <w:t xml:space="preserve">[policy] US allows ships sanctioned over Iran to be scrapped (from: Buyer Says US Allows Ships Sanctioned Over Iran to Be Scrapp)</w:t>
      </w:r>
    </w:p>
    <w:p>
      <w:pPr>
        <w:pStyle w:val="Compact"/>
        <w:numPr>
          <w:ilvl w:val="0"/>
          <w:numId w:val="1004"/>
        </w:numPr>
      </w:pPr>
      <w:r>
        <w:t xml:space="preserve">[geopolitical] Strait of Hormuz blockade (from: US consumers face looming spending squeeze as Trump tax reba)</w:t>
      </w:r>
    </w:p>
    <w:p>
      <w:pPr>
        <w:pStyle w:val="Compact"/>
        <w:numPr>
          <w:ilvl w:val="0"/>
          <w:numId w:val="1004"/>
        </w:numPr>
      </w:pPr>
      <w:r>
        <w:t xml:space="preserve">[] Iran war squeezes sulphur supplies (from: Fertiliser groups cut production as Iran war squeezes sulphu)</w:t>
      </w:r>
    </w:p>
    <w:bookmarkEnd w:id="15"/>
    <w:bookmarkStart w:id="16" w:name="eia-market-data"/>
    <w:p>
      <w:pPr>
        <w:pStyle w:val="Heading3"/>
      </w:pPr>
      <w:r>
        <w:t xml:space="preserve">EIA Market Data</w:t>
      </w:r>
    </w:p>
    <w:p>
      <w:pPr>
        <w:pStyle w:val="Compact"/>
        <w:numPr>
          <w:ilvl w:val="0"/>
          <w:numId w:val="1005"/>
        </w:numPr>
      </w:pPr>
      <w:r>
        <w:t xml:space="preserve">US Crude Inventory (latest weekly): from EIA series PET.WCESTUS1.W</w:t>
      </w:r>
    </w:p>
    <w:p>
      <w:pPr>
        <w:pStyle w:val="Compact"/>
        <w:numPr>
          <w:ilvl w:val="0"/>
          <w:numId w:val="1005"/>
        </w:numPr>
      </w:pPr>
      <w:r>
        <w:t xml:space="preserve">US Crude Production (latest weekly): from EIA series PET.WCRFPUS2.W</w:t>
      </w:r>
    </w:p>
    <w:p>
      <w:pPr>
        <w:pStyle w:val="FirstParagraph"/>
      </w:pPr>
      <w:r>
        <w:rPr>
          <w:i/>
          <w:iCs/>
        </w:rPr>
        <w:t xml:space="preserve">Report generated: 2026-05-25 10:47 UTC</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2026-05-25T10:47:09Z</dcterms:created>
  <dcterms:modified xsi:type="dcterms:W3CDTF">2026-05-25T10:47:09Z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rent">
    <vt:lpwstr>97.79 (2026-05-25)</vt:lpwstr>
  </property>
  <property fmtid="{D5CDD505-2E9C-101B-9397-08002B2CF9AE}" pid="3" name="confidence">
    <vt:lpwstr>low</vt:lpwstr>
  </property>
  <property fmtid="{D5CDD505-2E9C-101B-9397-08002B2CF9AE}" pid="4" name="direction">
    <vt:lpwstr>neutral</vt:lpwstr>
  </property>
  <property fmtid="{D5CDD505-2E9C-101B-9397-08002B2CF9AE}" pid="5" name="generated_at">
    <vt:lpwstr>2026-05-25T10:47:07.364749+00:00</vt:lpwstr>
  </property>
  <property fmtid="{D5CDD505-2E9C-101B-9397-08002B2CF9AE}" pid="6" name="score">
    <vt:lpwstr>1.35e-2</vt:lpwstr>
  </property>
  <property fmtid="{D5CDD505-2E9C-101B-9397-08002B2CF9AE}" pid="7" name="wti">
    <vt:lpwstr>90.93 (2026-05-25)</vt:lpwstr>
  </property>
</Properties>
</file>