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oil-market-briefing-report"/>
    <w:p>
      <w:pPr>
        <w:pStyle w:val="Heading1"/>
      </w:pPr>
      <w:r>
        <w:rPr>
          <w:b/>
          <w:bCs/>
        </w:rPr>
        <w:t xml:space="preserve">Oil Market Briefing Report</w:t>
      </w:r>
    </w:p>
    <w:bookmarkStart w:id="9" w:name="executive-summary"/>
    <w:p>
      <w:pPr>
        <w:pStyle w:val="Heading3"/>
      </w:pPr>
      <w:r>
        <w:t xml:space="preserve">Executive Summary</w:t>
      </w:r>
    </w:p>
    <w:p>
      <w:pPr>
        <w:pStyle w:val="FirstParagraph"/>
      </w:pPr>
      <w:r>
        <w:t xml:space="preserve">The oil market remains neutral with a low confidence level, as indicated by our prediction signal. Current prices are at $112.25 for WTI and $116.73 for Brent. Our analysis suggests that prices may remain stable in the short term.</w:t>
      </w:r>
    </w:p>
    <w:bookmarkEnd w:id="9"/>
    <w:bookmarkStart w:id="10" w:name="price-overview"/>
    <w:p>
      <w:pPr>
        <w:pStyle w:val="Heading2"/>
      </w:pPr>
      <w:r>
        <w:t xml:space="preserve">### Price Overview</w:t>
      </w:r>
    </w:p>
    <w:p>
      <w:pPr>
        <w:pStyle w:val="Compact"/>
        <w:numPr>
          <w:ilvl w:val="0"/>
          <w:numId w:val="1001"/>
        </w:numPr>
      </w:pPr>
      <w:r>
        <w:rPr>
          <w:b/>
          <w:bCs/>
        </w:rPr>
        <w:t xml:space="preserve">Current Prices</w:t>
      </w:r>
      <w:r>
        <w:t xml:space="preserve">: WTI: $112.25 USD/barrel, Brent: $116.73 USD/barrel (as of 2026-05-18)</w:t>
      </w:r>
    </w:p>
    <w:p>
      <w:pPr>
        <w:pStyle w:val="Compact"/>
        <w:numPr>
          <w:ilvl w:val="0"/>
          <w:numId w:val="1001"/>
        </w:numPr>
      </w:pPr>
      <w:r>
        <w:rPr>
          <w:b/>
          <w:bCs/>
        </w:rPr>
        <w:t xml:space="preserve">Recent Trend</w:t>
      </w:r>
      <w:r>
        <w:t xml:space="preserve">:</w:t>
      </w:r>
    </w:p>
    <w:p>
      <w:pPr>
        <w:pStyle w:val="Compact"/>
        <w:numPr>
          <w:ilvl w:val="1"/>
          <w:numId w:val="1002"/>
        </w:numPr>
      </w:pPr>
      <w:r>
        <w:t xml:space="preserve">WTI 5-day trend: 0.612 (upward)</w:t>
      </w:r>
    </w:p>
    <w:p>
      <w:pPr>
        <w:pStyle w:val="Compact"/>
        <w:numPr>
          <w:ilvl w:val="1"/>
          <w:numId w:val="1002"/>
        </w:numPr>
      </w:pPr>
      <w:r>
        <w:t xml:space="preserve">Brent 5-day trend: 0.481 (upward)</w:t>
      </w:r>
    </w:p>
    <w:bookmarkEnd w:id="10"/>
    <w:bookmarkStart w:id="11" w:name="market-sentiment"/>
    <w:p>
      <w:pPr>
        <w:pStyle w:val="Heading2"/>
      </w:pPr>
      <w:r>
        <w:t xml:space="preserve">### Market Sentiment</w:t>
      </w:r>
    </w:p>
    <w:p>
      <w:pPr>
        <w:pStyle w:val="Compact"/>
        <w:numPr>
          <w:ilvl w:val="0"/>
          <w:numId w:val="1003"/>
        </w:numPr>
      </w:pPr>
      <w:r>
        <w:rPr>
          <w:b/>
          <w:bCs/>
        </w:rPr>
        <w:t xml:space="preserve">News Sentiment</w:t>
      </w:r>
      <w:r>
        <w:t xml:space="preserve">: Bullish articles (3), Bearish articles (7), Neutral/Unclear (2)</w:t>
      </w:r>
    </w:p>
    <w:p>
      <w:pPr>
        <w:pStyle w:val="Compact"/>
        <w:numPr>
          <w:ilvl w:val="0"/>
          <w:numId w:val="1003"/>
        </w:numPr>
      </w:pPr>
      <w:r>
        <w:rPr>
          <w:b/>
          <w:bCs/>
        </w:rPr>
        <w:t xml:space="preserve">GDELT Global News Tone</w:t>
      </w:r>
      <w:r>
        <w:t xml:space="preserve">: Average tone score: -0.435 (negative = bearish coverage, positive = bullish)</w:t>
      </w:r>
    </w:p>
    <w:bookmarkEnd w:id="11"/>
    <w:bookmarkStart w:id="12" w:name="key-organisations-and-actors"/>
    <w:p>
      <w:pPr>
        <w:pStyle w:val="Heading2"/>
      </w:pPr>
      <w:r>
        <w:t xml:space="preserve">### Key Organisations and Actors</w:t>
      </w:r>
    </w:p>
    <w:p>
      <w:pPr>
        <w:pStyle w:val="Compact"/>
        <w:numPr>
          <w:ilvl w:val="0"/>
          <w:numId w:val="1004"/>
        </w:numPr>
      </w:pPr>
      <w:r>
        <w:t xml:space="preserve">Top mentioned organisations:</w:t>
      </w:r>
    </w:p>
    <w:p>
      <w:pPr>
        <w:pStyle w:val="Compact"/>
        <w:numPr>
          <w:ilvl w:val="1"/>
          <w:numId w:val="1005"/>
        </w:numPr>
      </w:pPr>
      <w:r>
        <w:t xml:space="preserve">Shell: 2 mentions</w:t>
      </w:r>
    </w:p>
    <w:p>
      <w:pPr>
        <w:pStyle w:val="Compact"/>
        <w:numPr>
          <w:ilvl w:val="1"/>
          <w:numId w:val="1005"/>
        </w:numPr>
      </w:pPr>
      <w:r>
        <w:t xml:space="preserve">Aker BP: 2 mentions</w:t>
      </w:r>
    </w:p>
    <w:p>
      <w:pPr>
        <w:pStyle w:val="Compact"/>
        <w:numPr>
          <w:ilvl w:val="1"/>
          <w:numId w:val="1005"/>
        </w:numPr>
      </w:pPr>
      <w:r>
        <w:t xml:space="preserve">Equinor: 2 mentions</w:t>
      </w:r>
    </w:p>
    <w:p>
      <w:pPr>
        <w:pStyle w:val="Compact"/>
        <w:numPr>
          <w:ilvl w:val="1"/>
          <w:numId w:val="1005"/>
        </w:numPr>
      </w:pPr>
      <w:r>
        <w:t xml:space="preserve">ConocoPhillips: 2 mentions</w:t>
      </w:r>
    </w:p>
    <w:p>
      <w:pPr>
        <w:pStyle w:val="Compact"/>
        <w:numPr>
          <w:ilvl w:val="1"/>
          <w:numId w:val="1005"/>
        </w:numPr>
      </w:pPr>
      <w:r>
        <w:t xml:space="preserve">Bloomberg: 1 mention</w:t>
      </w:r>
    </w:p>
    <w:p>
      <w:pPr>
        <w:pStyle w:val="Compact"/>
        <w:numPr>
          <w:ilvl w:val="1"/>
          <w:numId w:val="1005"/>
        </w:numPr>
      </w:pPr>
      <w:r>
        <w:t xml:space="preserve">Saudi Aramco: 1 mention</w:t>
      </w:r>
    </w:p>
    <w:p>
      <w:pPr>
        <w:pStyle w:val="Compact"/>
        <w:numPr>
          <w:ilvl w:val="1"/>
          <w:numId w:val="1005"/>
        </w:numPr>
      </w:pPr>
      <w:r>
        <w:t xml:space="preserve">EIA: 1 mention</w:t>
      </w:r>
    </w:p>
    <w:p>
      <w:pPr>
        <w:pStyle w:val="Compact"/>
        <w:numPr>
          <w:ilvl w:val="1"/>
          <w:numId w:val="1005"/>
        </w:numPr>
      </w:pPr>
      <w:r>
        <w:t xml:space="preserve">Naftogaz: 1 mention</w:t>
      </w:r>
    </w:p>
    <w:bookmarkEnd w:id="12"/>
    <w:bookmarkStart w:id="13" w:name="notable-events-and-risks"/>
    <w:p>
      <w:pPr>
        <w:pStyle w:val="Heading2"/>
      </w:pPr>
      <w:r>
        <w:t xml:space="preserve">### Notable Events and Risks</w:t>
      </w:r>
    </w:p>
    <w:p>
      <w:pPr>
        <w:pStyle w:val="Compact"/>
        <w:numPr>
          <w:ilvl w:val="0"/>
          <w:numId w:val="1006"/>
        </w:numPr>
      </w:pPr>
      <w:r>
        <w:t xml:space="preserve">Recent events:</w:t>
      </w:r>
    </w:p>
    <w:p>
      <w:pPr>
        <w:pStyle w:val="Compact"/>
        <w:numPr>
          <w:ilvl w:val="1"/>
          <w:numId w:val="1007"/>
        </w:numPr>
      </w:pPr>
      <w:r>
        <w:t xml:space="preserve">Ithaca Completes Acquisition in Shell Discovery, Farms Down Fotla</w:t>
      </w:r>
    </w:p>
    <w:p>
      <w:pPr>
        <w:pStyle w:val="Compact"/>
        <w:numPr>
          <w:ilvl w:val="1"/>
          <w:numId w:val="1007"/>
        </w:numPr>
      </w:pPr>
      <w:r>
        <w:t xml:space="preserve">Equinor, Aker BP Agree Stakes Swap in North Sea, Barents Sea</w:t>
      </w:r>
    </w:p>
    <w:p>
      <w:pPr>
        <w:pStyle w:val="Compact"/>
        <w:numPr>
          <w:ilvl w:val="1"/>
          <w:numId w:val="1007"/>
        </w:numPr>
      </w:pPr>
      <w:r>
        <w:t xml:space="preserve">Explosion at petrochemicals plant in eastern Hungary</w:t>
      </w:r>
    </w:p>
    <w:p>
      <w:pPr>
        <w:pStyle w:val="Compact"/>
        <w:numPr>
          <w:ilvl w:val="1"/>
          <w:numId w:val="1007"/>
        </w:numPr>
      </w:pPr>
      <w:r>
        <w:t xml:space="preserve">Iran working with Oman to formalize control of the Strait of Hormuz</w:t>
      </w:r>
    </w:p>
    <w:bookmarkEnd w:id="13"/>
    <w:bookmarkStart w:id="14" w:name="outlook-next-12-24-hours"/>
    <w:p>
      <w:pPr>
        <w:pStyle w:val="Heading2"/>
      </w:pPr>
      <w:r>
        <w:t xml:space="preserve">### Outlook (next 12-24 hours)</w:t>
      </w:r>
    </w:p>
    <w:p>
      <w:pPr>
        <w:pStyle w:val="FirstParagraph"/>
      </w:pPr>
      <w:r>
        <w:t xml:space="preserve">Based on available signals, we expect prices to remain stable in the short term. However, there are risks associated with the ongoing tensions in the Middle East and potential disruptions to oil supply. We recommend monitoring market developments closely for any changes in sentiment or price movements.</w:t>
      </w:r>
    </w:p>
    <w:p>
      <w:pPr>
        <w:pStyle w:val="BodyText"/>
      </w:pPr>
      <w:r>
        <w:rPr>
          <w:b/>
          <w:bCs/>
        </w:rPr>
        <w:t xml:space="preserve">Note</w:t>
      </w:r>
      <w:r>
        <w:t xml:space="preserve">: This report is based solely on the provided data and does not include any additional analysis or assumptions.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2026-05-22T11:43:48Z</dcterms:created>
  <dcterms:modified xsi:type="dcterms:W3CDTF">2026-05-22T11:43:48Z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ent">
    <vt:lpwstr>116.73 (2026-05-18)</vt:lpwstr>
  </property>
  <property fmtid="{D5CDD505-2E9C-101B-9397-08002B2CF9AE}" pid="3" name="confidence">
    <vt:lpwstr>low</vt:lpwstr>
  </property>
  <property fmtid="{D5CDD505-2E9C-101B-9397-08002B2CF9AE}" pid="4" name="direction">
    <vt:lpwstr>neutral</vt:lpwstr>
  </property>
  <property fmtid="{D5CDD505-2E9C-101B-9397-08002B2CF9AE}" pid="5" name="generated_at">
    <vt:lpwstr>2026-05-22T11:33:07.797860+00:00</vt:lpwstr>
  </property>
  <property fmtid="{D5CDD505-2E9C-101B-9397-08002B2CF9AE}" pid="6" name="score">
    <vt:lpwstr>7.65e-2</vt:lpwstr>
  </property>
  <property fmtid="{D5CDD505-2E9C-101B-9397-08002B2CF9AE}" pid="7" name="wti">
    <vt:lpwstr>112.25 (2026-05-18)</vt:lpwstr>
  </property>
</Properties>
</file>