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oil-market-briefing-report"/>
    <w:p>
      <w:pPr>
        <w:pStyle w:val="Heading1"/>
      </w:pPr>
      <w:r>
        <w:rPr>
          <w:b/>
          <w:bCs/>
        </w:rPr>
        <w:t xml:space="preserve">Oil Market Briefing Report</w:t>
      </w:r>
    </w:p>
    <w:bookmarkStart w:id="9" w:name="executive-summary"/>
    <w:p>
      <w:pPr>
        <w:pStyle w:val="Heading2"/>
      </w:pPr>
      <w:r>
        <w:t xml:space="preserve">### Executive Summary</w:t>
      </w:r>
    </w:p>
    <w:p>
      <w:pPr>
        <w:pStyle w:val="FirstParagraph"/>
      </w:pPr>
      <w:r>
        <w:t xml:space="preserve">The current oil market outlook is neutral with low confidence, as indicated by a composite score of 0.0392. Prices have been trending upwards, but recent developments suggest a potential shift in sentiment. We expect prices to remain volatile over the next 24 hours.</w:t>
      </w:r>
    </w:p>
    <w:p>
      <w:pPr>
        <w:pStyle w:val="Compact"/>
        <w:numPr>
          <w:ilvl w:val="0"/>
          <w:numId w:val="1001"/>
        </w:numPr>
      </w:pPr>
      <w:r>
        <w:t xml:space="preserve">Current WTI price: $112.25 USD/barrel</w:t>
      </w:r>
    </w:p>
    <w:p>
      <w:pPr>
        <w:pStyle w:val="Compact"/>
        <w:numPr>
          <w:ilvl w:val="0"/>
          <w:numId w:val="1001"/>
        </w:numPr>
      </w:pPr>
      <w:r>
        <w:t xml:space="preserve">Current Brent price: $116.73 USD/barrel</w:t>
      </w:r>
    </w:p>
    <w:bookmarkEnd w:id="9"/>
    <w:bookmarkStart w:id="10" w:name="price-overview"/>
    <w:p>
      <w:pPr>
        <w:pStyle w:val="Heading2"/>
      </w:pPr>
      <w:r>
        <w:t xml:space="preserve">### Price Overview</w:t>
      </w:r>
    </w:p>
    <w:p>
      <w:pPr>
        <w:pStyle w:val="Compact"/>
        <w:numPr>
          <w:ilvl w:val="0"/>
          <w:numId w:val="1002"/>
        </w:numPr>
      </w:pPr>
      <w:r>
        <w:t xml:space="preserve">Recent trend:</w:t>
      </w:r>
    </w:p>
    <w:p>
      <w:pPr>
        <w:pStyle w:val="Compact"/>
        <w:numPr>
          <w:ilvl w:val="1"/>
          <w:numId w:val="1003"/>
        </w:numPr>
      </w:pPr>
      <w:r>
        <w:t xml:space="preserve">WTI: 0.612 (5-day trend)</w:t>
      </w:r>
    </w:p>
    <w:p>
      <w:pPr>
        <w:pStyle w:val="Compact"/>
        <w:numPr>
          <w:ilvl w:val="1"/>
          <w:numId w:val="1003"/>
        </w:numPr>
      </w:pPr>
      <w:r>
        <w:t xml:space="preserve">Brent: 0.481 (5-day trend)</w:t>
      </w:r>
    </w:p>
    <w:bookmarkEnd w:id="10"/>
    <w:bookmarkStart w:id="11" w:name="market-sentiment"/>
    <w:p>
      <w:pPr>
        <w:pStyle w:val="Heading2"/>
      </w:pPr>
      <w:r>
        <w:t xml:space="preserve">### Market Sentiment</w:t>
      </w:r>
    </w:p>
    <w:p>
      <w:pPr>
        <w:pStyle w:val="FirstParagraph"/>
      </w:pPr>
      <w:r>
        <w:t xml:space="preserve">The news sentiment is bearish, with 20 bearish articles compared to only 5 bullish ones. The GDELT global news tone score is 0.122, indicating a negative bias.</w:t>
      </w:r>
    </w:p>
    <w:p>
      <w:pPr>
        <w:pStyle w:val="Compact"/>
        <w:numPr>
          <w:ilvl w:val="0"/>
          <w:numId w:val="1004"/>
        </w:numPr>
      </w:pPr>
      <w:r>
        <w:t xml:space="preserve">Bullish articles: 5</w:t>
      </w:r>
    </w:p>
    <w:p>
      <w:pPr>
        <w:pStyle w:val="Compact"/>
        <w:numPr>
          <w:ilvl w:val="0"/>
          <w:numId w:val="1004"/>
        </w:numPr>
      </w:pPr>
      <w:r>
        <w:t xml:space="preserve">Bearish articles: 20</w:t>
      </w:r>
    </w:p>
    <w:p>
      <w:pPr>
        <w:pStyle w:val="Compact"/>
        <w:numPr>
          <w:ilvl w:val="0"/>
          <w:numId w:val="1004"/>
        </w:numPr>
      </w:pPr>
      <w:r>
        <w:t xml:space="preserve">Neutral/Unclear: 8</w:t>
      </w:r>
    </w:p>
    <w:bookmarkEnd w:id="11"/>
    <w:bookmarkStart w:id="12" w:name="key-organisations-and-actors"/>
    <w:p>
      <w:pPr>
        <w:pStyle w:val="Heading2"/>
      </w:pPr>
      <w:r>
        <w:t xml:space="preserve">### Key Organisations and Actors</w:t>
      </w:r>
    </w:p>
    <w:p>
      <w:pPr>
        <w:pStyle w:val="Compact"/>
        <w:numPr>
          <w:ilvl w:val="0"/>
          <w:numId w:val="1005"/>
        </w:numPr>
      </w:pPr>
      <w:r>
        <w:t xml:space="preserve">Iran: 5 mentions</w:t>
      </w:r>
    </w:p>
    <w:p>
      <w:pPr>
        <w:pStyle w:val="Compact"/>
        <w:numPr>
          <w:ilvl w:val="0"/>
          <w:numId w:val="1005"/>
        </w:numPr>
      </w:pPr>
      <w:r>
        <w:t xml:space="preserve">Bloomberg: 4 mentions</w:t>
      </w:r>
    </w:p>
    <w:p>
      <w:pPr>
        <w:pStyle w:val="Compact"/>
        <w:numPr>
          <w:ilvl w:val="0"/>
          <w:numId w:val="1005"/>
        </w:numPr>
      </w:pPr>
      <w:r>
        <w:t xml:space="preserve">US: 3 mentions</w:t>
      </w:r>
    </w:p>
    <w:p>
      <w:pPr>
        <w:pStyle w:val="Compact"/>
        <w:numPr>
          <w:ilvl w:val="0"/>
          <w:numId w:val="1005"/>
        </w:numPr>
      </w:pPr>
      <w:r>
        <w:t xml:space="preserve">Shell: 2 mentions</w:t>
      </w:r>
    </w:p>
    <w:p>
      <w:pPr>
        <w:pStyle w:val="Compact"/>
        <w:numPr>
          <w:ilvl w:val="0"/>
          <w:numId w:val="1005"/>
        </w:numPr>
      </w:pPr>
      <w:r>
        <w:t xml:space="preserve">Equinor: 2 mentions</w:t>
      </w:r>
    </w:p>
    <w:p>
      <w:pPr>
        <w:pStyle w:val="Compact"/>
        <w:numPr>
          <w:ilvl w:val="0"/>
          <w:numId w:val="1005"/>
        </w:numPr>
      </w:pPr>
      <w:r>
        <w:t xml:space="preserve">ConocoPhillips: 2 mentions</w:t>
      </w:r>
    </w:p>
    <w:p>
      <w:pPr>
        <w:pStyle w:val="Compact"/>
        <w:numPr>
          <w:ilvl w:val="0"/>
          <w:numId w:val="1005"/>
        </w:numPr>
      </w:pPr>
      <w:r>
        <w:t xml:space="preserve">Aker BP: 2 mentions</w:t>
      </w:r>
    </w:p>
    <w:bookmarkEnd w:id="12"/>
    <w:bookmarkStart w:id="13" w:name="notable-events-and-risks"/>
    <w:p>
      <w:pPr>
        <w:pStyle w:val="Heading2"/>
      </w:pPr>
      <w:r>
        <w:t xml:space="preserve">### Notable Events and Risks</w:t>
      </w:r>
    </w:p>
    <w:p>
      <w:pPr>
        <w:pStyle w:val="Compact"/>
        <w:numPr>
          <w:ilvl w:val="0"/>
          <w:numId w:val="1006"/>
        </w:numPr>
      </w:pPr>
      <w:r>
        <w:t xml:space="preserve">Ongoing shipping disruptions through the Strait of Hormuz persist for another 1-3 months.</w:t>
      </w:r>
    </w:p>
    <w:p>
      <w:pPr>
        <w:pStyle w:val="Compact"/>
        <w:numPr>
          <w:ilvl w:val="0"/>
          <w:numId w:val="1006"/>
        </w:numPr>
      </w:pPr>
      <w:r>
        <w:t xml:space="preserve">US-Iran deal delayed as Trump refuses to</w:t>
      </w:r>
      <w:r>
        <w:t xml:space="preserve"> </w:t>
      </w:r>
      <w:r>
        <w:t xml:space="preserve">“rush”</w:t>
      </w:r>
      <w:r>
        <w:t xml:space="preserve"> </w:t>
      </w:r>
      <w:r>
        <w:t xml:space="preserve">agreement.</w:t>
      </w:r>
    </w:p>
    <w:p>
      <w:pPr>
        <w:pStyle w:val="Compact"/>
        <w:numPr>
          <w:ilvl w:val="0"/>
          <w:numId w:val="1006"/>
        </w:numPr>
      </w:pPr>
      <w:r>
        <w:t xml:space="preserve">ADNOC warns Gulf oil disruptions could last until 2027.</w:t>
      </w:r>
    </w:p>
    <w:bookmarkEnd w:id="13"/>
    <w:bookmarkStart w:id="14" w:name="outlook-next-12-24-hours"/>
    <w:p>
      <w:pPr>
        <w:pStyle w:val="Heading2"/>
      </w:pPr>
      <w:r>
        <w:t xml:space="preserve">### Outlook (next 12-24 hours)</w:t>
      </w:r>
    </w:p>
    <w:p>
      <w:pPr>
        <w:pStyle w:val="FirstParagraph"/>
      </w:pPr>
      <w:r>
        <w:t xml:space="preserve">Based on available signals, we expect prices to remain volatile over the next 24 hours. The recent trend and market sentiment suggest a potential shift in direction, but the neutral confidence level indicates uncertainty. We recommend monitoring developments in the Strait of Hormuz and US-Iran negotiations for further price movements.</w:t>
      </w:r>
    </w:p>
    <w:p>
      <w:pPr>
        <w:pStyle w:val="BodyText"/>
      </w:pPr>
      <w:r>
        <w:t xml:space="preserve">Note: This report is based solely on the provided data and does not include any additional analysis or assumptions.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2026-05-25T07:29:40Z</dcterms:created>
  <dcterms:modified xsi:type="dcterms:W3CDTF">2026-05-25T07:29:40Z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ent">
    <vt:lpwstr>116.73 (2026-05-18)</vt:lpwstr>
  </property>
  <property fmtid="{D5CDD505-2E9C-101B-9397-08002B2CF9AE}" pid="3" name="confidence">
    <vt:lpwstr>low</vt:lpwstr>
  </property>
  <property fmtid="{D5CDD505-2E9C-101B-9397-08002B2CF9AE}" pid="4" name="direction">
    <vt:lpwstr>neutral</vt:lpwstr>
  </property>
  <property fmtid="{D5CDD505-2E9C-101B-9397-08002B2CF9AE}" pid="5" name="generated_at">
    <vt:lpwstr>2026-05-25T07:29:38.132277+00:00</vt:lpwstr>
  </property>
  <property fmtid="{D5CDD505-2E9C-101B-9397-08002B2CF9AE}" pid="6" name="score">
    <vt:lpwstr>3.92e-2</vt:lpwstr>
  </property>
  <property fmtid="{D5CDD505-2E9C-101B-9397-08002B2CF9AE}" pid="7" name="wti">
    <vt:lpwstr>112.25 (2026-05-18)</vt:lpwstr>
  </property>
</Properties>
</file>