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oil-market-briefing-report"/>
    <w:p>
      <w:pPr>
        <w:pStyle w:val="Heading1"/>
      </w:pPr>
      <w:r>
        <w:rPr>
          <w:b/>
          <w:bCs/>
        </w:rPr>
        <w:t xml:space="preserve">Oil Market Briefing Report</w:t>
      </w:r>
    </w:p>
    <w:bookmarkStart w:id="9" w:name="executive-summary"/>
    <w:p>
      <w:pPr>
        <w:pStyle w:val="Heading3"/>
      </w:pPr>
      <w:r>
        <w:t xml:space="preserve">Executive Summary</w:t>
      </w:r>
    </w:p>
    <w:p>
      <w:pPr>
        <w:pStyle w:val="FirstParagraph"/>
      </w:pPr>
      <w:r>
        <w:t xml:space="preserve">The oil market remains neutral with a low confidence level, as indicated by our prediction signal. Current prices are stable, with WTI at $91.94 and Brent at $98.86 USD/barrel. However, the recent trend suggests a slight increase in both indices.</w:t>
      </w:r>
    </w:p>
    <w:bookmarkEnd w:id="9"/>
    <w:bookmarkStart w:id="10" w:name="price-overview"/>
    <w:p>
      <w:pPr>
        <w:pStyle w:val="Heading2"/>
      </w:pPr>
      <w:r>
        <w:t xml:space="preserve">### Price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 Prices:</w:t>
      </w:r>
    </w:p>
    <w:p>
      <w:pPr>
        <w:pStyle w:val="Compact"/>
        <w:numPr>
          <w:ilvl w:val="1"/>
          <w:numId w:val="1002"/>
        </w:numPr>
      </w:pPr>
      <w:r>
        <w:t xml:space="preserve">WTI: $91.94 USD/barrel (as of 2026-05-25)</w:t>
      </w:r>
    </w:p>
    <w:p>
      <w:pPr>
        <w:pStyle w:val="Compact"/>
        <w:numPr>
          <w:ilvl w:val="1"/>
          <w:numId w:val="1002"/>
        </w:numPr>
      </w:pPr>
      <w:r>
        <w:t xml:space="preserve">Brent: $98.86 USD/barrel (as of 2026-05-25)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Recent Trend:</w:t>
      </w:r>
    </w:p>
    <w:p>
      <w:pPr>
        <w:pStyle w:val="Compact"/>
        <w:numPr>
          <w:ilvl w:val="1"/>
          <w:numId w:val="1003"/>
        </w:numPr>
      </w:pPr>
      <w:r>
        <w:t xml:space="preserve">WTI 5-day trend: 0.612</w:t>
      </w:r>
    </w:p>
    <w:p>
      <w:pPr>
        <w:pStyle w:val="Compact"/>
        <w:numPr>
          <w:ilvl w:val="1"/>
          <w:numId w:val="1003"/>
        </w:numPr>
      </w:pPr>
      <w:r>
        <w:t xml:space="preserve">Brent 5-day trend: 0.481</w:t>
      </w:r>
    </w:p>
    <w:bookmarkEnd w:id="10"/>
    <w:bookmarkStart w:id="11" w:name="market-sentiment"/>
    <w:p>
      <w:pPr>
        <w:pStyle w:val="Heading2"/>
      </w:pPr>
      <w:r>
        <w:t xml:space="preserve">### Market Sentiment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News Sentiment:</w:t>
      </w:r>
      <w:r>
        <w:t xml:space="preserve"> </w:t>
      </w:r>
      <w:r>
        <w:t xml:space="preserve">Bearish articles dominate, with 21 out of 34 articles having a negative tone.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GDELT Global News Tone:</w:t>
      </w:r>
      <w:r>
        <w:t xml:space="preserve"> </w:t>
      </w:r>
      <w:r>
        <w:t xml:space="preserve">Average tone score is -0.392 (negative = bearish coverage)</w:t>
      </w:r>
    </w:p>
    <w:bookmarkEnd w:id="11"/>
    <w:bookmarkStart w:id="12" w:name="key-organisations-and-actors"/>
    <w:p>
      <w:pPr>
        <w:pStyle w:val="Heading2"/>
      </w:pPr>
      <w:r>
        <w:t xml:space="preserve">### Key Organisations and Actors</w:t>
      </w:r>
    </w:p>
    <w:p>
      <w:pPr>
        <w:pStyle w:val="Compact"/>
        <w:numPr>
          <w:ilvl w:val="0"/>
          <w:numId w:val="1005"/>
        </w:numPr>
      </w:pPr>
      <w:r>
        <w:t xml:space="preserve">Top mentioned organisations:</w:t>
      </w:r>
    </w:p>
    <w:p>
      <w:pPr>
        <w:pStyle w:val="Compact"/>
        <w:numPr>
          <w:ilvl w:val="1"/>
          <w:numId w:val="1006"/>
        </w:numPr>
      </w:pPr>
      <w:r>
        <w:t xml:space="preserve">Iran: 5 mentions</w:t>
      </w:r>
    </w:p>
    <w:p>
      <w:pPr>
        <w:pStyle w:val="Compact"/>
        <w:numPr>
          <w:ilvl w:val="1"/>
          <w:numId w:val="1006"/>
        </w:numPr>
      </w:pPr>
      <w:r>
        <w:t xml:space="preserve">Bloomberg: 4 mentions</w:t>
      </w:r>
    </w:p>
    <w:p>
      <w:pPr>
        <w:pStyle w:val="Compact"/>
        <w:numPr>
          <w:ilvl w:val="1"/>
          <w:numId w:val="1006"/>
        </w:numPr>
      </w:pPr>
      <w:r>
        <w:t xml:space="preserve">US: 3 mentions</w:t>
      </w:r>
    </w:p>
    <w:p>
      <w:pPr>
        <w:pStyle w:val="Compact"/>
        <w:numPr>
          <w:ilvl w:val="1"/>
          <w:numId w:val="1006"/>
        </w:numPr>
      </w:pPr>
      <w:r>
        <w:t xml:space="preserve">Shell, Aker BP, United States, Equinor, ConocoPhillips: 2 mentions each</w:t>
      </w:r>
    </w:p>
    <w:bookmarkEnd w:id="12"/>
    <w:bookmarkStart w:id="13" w:name="notable-events-and-risks"/>
    <w:p>
      <w:pPr>
        <w:pStyle w:val="Heading2"/>
      </w:pPr>
      <w:r>
        <w:t xml:space="preserve">### Notable Events and Risks</w:t>
      </w:r>
    </w:p>
    <w:p>
      <w:pPr>
        <w:pStyle w:val="Compact"/>
        <w:numPr>
          <w:ilvl w:val="0"/>
          <w:numId w:val="1007"/>
        </w:numPr>
      </w:pPr>
      <w:r>
        <w:t xml:space="preserve">Ongoing shipping disruptions through the Strait of Hormuz persist for another 1-3 months.</w:t>
      </w:r>
    </w:p>
    <w:p>
      <w:pPr>
        <w:pStyle w:val="Compact"/>
        <w:numPr>
          <w:ilvl w:val="0"/>
          <w:numId w:val="1007"/>
        </w:numPr>
      </w:pPr>
      <w:r>
        <w:t xml:space="preserve">Deal to reopen the Strait of Hormuz was in its final stages.</w:t>
      </w:r>
    </w:p>
    <w:p>
      <w:pPr>
        <w:pStyle w:val="Compact"/>
        <w:numPr>
          <w:ilvl w:val="0"/>
          <w:numId w:val="1007"/>
        </w:numPr>
      </w:pPr>
      <w:r>
        <w:t xml:space="preserve">US allows ships sanctioned over Iran to be scrapped.</w:t>
      </w:r>
    </w:p>
    <w:bookmarkEnd w:id="13"/>
    <w:bookmarkStart w:id="14" w:name="outlook-next-12-24-hours"/>
    <w:p>
      <w:pPr>
        <w:pStyle w:val="Heading2"/>
      </w:pPr>
      <w:r>
        <w:t xml:space="preserve">### Outlook (next 12-24 hours)</w:t>
      </w:r>
    </w:p>
    <w:p>
      <w:pPr>
        <w:pStyle w:val="FirstParagraph"/>
      </w:pPr>
      <w:r>
        <w:t xml:space="preserve">Based on available signals, we expect oil prices to remain stable, with a slight increase possible due to the recent trend. However, the bearish news sentiment and geopolitical risks may impact market sentiment in the short term.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2026-05-25T07:55:40Z</dcterms:created>
  <dcterms:modified xsi:type="dcterms:W3CDTF">2026-05-25T07:55:40Z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rent">
    <vt:lpwstr>98.86 (2026-05-25)</vt:lpwstr>
  </property>
  <property fmtid="{D5CDD505-2E9C-101B-9397-08002B2CF9AE}" pid="3" name="confidence">
    <vt:lpwstr>low</vt:lpwstr>
  </property>
  <property fmtid="{D5CDD505-2E9C-101B-9397-08002B2CF9AE}" pid="4" name="direction">
    <vt:lpwstr>neutral</vt:lpwstr>
  </property>
  <property fmtid="{D5CDD505-2E9C-101B-9397-08002B2CF9AE}" pid="5" name="generated_at">
    <vt:lpwstr>2026-05-25T07:55:37.969341+00:00</vt:lpwstr>
  </property>
  <property fmtid="{D5CDD505-2E9C-101B-9397-08002B2CF9AE}" pid="6" name="score">
    <vt:lpwstr>2.25e-2</vt:lpwstr>
  </property>
  <property fmtid="{D5CDD505-2E9C-101B-9397-08002B2CF9AE}" pid="7" name="wti">
    <vt:lpwstr>91.94 (2026-05-25)</vt:lpwstr>
  </property>
</Properties>
</file>