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DS 300 – Data Privacy &amp; Security</w:t>
      </w:r>
    </w:p>
    <w:p>
      <w:pPr>
        <w:spacing w:after="80"/>
        <w:jc w:val="center"/>
      </w:pPr>
      <w:r>
        <w:rPr>
          <w:rFonts w:ascii="Calibri" w:cs="Calibri" w:eastAsia="Calibri" w:hAnsi="Calibri"/>
          <w:b/>
          <w:bCs/>
          <w:sz w:val="32"/>
          <w:szCs w:val="32"/>
        </w:rPr>
        <w:t xml:space="preserve">Study Guide for Midterm 2</w:t>
      </w:r>
    </w:p>
    <w:p>
      <w:pPr>
        <w:spacing w:after="400"/>
        <w:jc w:val="center"/>
      </w:pPr>
      <w:r>
        <w:rPr>
          <w:rFonts w:ascii="Calibri" w:cs="Calibri" w:eastAsia="Calibri" w:hAnsi="Calibri"/>
          <w:sz w:val="24"/>
          <w:szCs w:val="24"/>
        </w:rPr>
        <w:t xml:space="preserve">Spring 2026</w:t>
      </w:r>
    </w:p>
    <w:p>
      <w:pPr>
        <w:pStyle w:val="Heading1"/>
      </w:pPr>
      <w:r>
        <w:t xml:space="preserve">Material</w:t>
      </w:r>
    </w:p>
    <w:p>
      <w:pPr>
        <w:pStyle w:val="Heading3"/>
      </w:pPr>
      <w:r>
        <w:t xml:space="preserve">Assigned Reading</w:t>
      </w:r>
    </w:p>
    <w:p>
      <w:pPr>
        <w:pStyle w:val="ListParagraph"/>
        <w:numPr>
          <w:ilvl w:val="0"/>
          <w:numId w:val="2"/>
        </w:numPr>
      </w:pPr>
      <w:r>
        <w:rPr>
          <w:i/>
          <w:iCs/>
        </w:rPr>
        <w:t xml:space="preserve">Data Privacy Principles and Practice</w:t>
      </w:r>
      <w:r>
        <w:t xml:space="preserve">, Chapters 1–3</w:t>
      </w:r>
    </w:p>
    <w:p>
      <w:pPr>
        <w:pStyle w:val="ListParagraph"/>
        <w:numPr>
          <w:ilvl w:val="0"/>
          <w:numId w:val="2"/>
        </w:numPr>
      </w:pPr>
      <w:r>
        <w:rPr>
          <w:i/>
          <w:iCs/>
        </w:rPr>
        <w:t xml:space="preserve">Humanizing Big Data</w:t>
      </w:r>
      <w:r>
        <w:t xml:space="preserve">, Chapter 1</w:t>
      </w:r>
    </w:p>
    <w:p>
      <w:pPr>
        <w:pStyle w:val="Heading3"/>
      </w:pPr>
      <w:r>
        <w:t xml:space="preserve">Slides</w:t>
      </w:r>
    </w:p>
    <w:p>
      <w:r>
        <w:t xml:space="preserve">All slides from the semester (Topics 0–6), available on Canvas.</w:t>
      </w:r>
    </w:p>
    <w:p>
      <w:pPr>
        <w:pStyle w:val="Heading3"/>
      </w:pPr>
      <w:r>
        <w:t xml:space="preserve">Videos, Class Discussions, and Exercises</w:t>
      </w:r>
    </w:p>
    <w:p>
      <w:r>
        <w:t xml:space="preserve">All videos shown in class, all in-class discussions, and all exercises and worksheets are fair game for the exam.</w:t>
      </w:r>
    </w:p>
    <w:p>
      <w:pPr>
        <w:pStyle w:val="Heading1"/>
      </w:pPr>
      <w:r>
        <w:t xml:space="preserve">Topics</w:t>
      </w:r>
    </w:p>
    <w:p>
      <w:pPr>
        <w:pStyle w:val="ListParagraph"/>
        <w:numPr>
          <w:ilvl w:val="0"/>
          <w:numId w:val="3"/>
        </w:numPr>
        <w:spacing w:after="60"/>
      </w:pPr>
      <w:r>
        <w:t xml:space="preserve">Introduction to Data Privacy &amp; Security</w:t>
      </w:r>
    </w:p>
    <w:p>
      <w:pPr>
        <w:pStyle w:val="ListParagraph"/>
        <w:numPr>
          <w:ilvl w:val="0"/>
          <w:numId w:val="3"/>
        </w:numPr>
        <w:spacing w:after="60"/>
      </w:pPr>
      <w:r>
        <w:t xml:space="preserve">Information theory &amp; password security</w:t>
      </w:r>
    </w:p>
    <w:p>
      <w:pPr>
        <w:pStyle w:val="ListParagraph"/>
        <w:numPr>
          <w:ilvl w:val="0"/>
          <w:numId w:val="3"/>
        </w:numPr>
        <w:spacing w:after="60"/>
      </w:pPr>
      <w:r>
        <w:t xml:space="preserve">Human psychology &amp; the social aspects of data privacy</w:t>
      </w:r>
    </w:p>
    <w:p>
      <w:pPr>
        <w:pStyle w:val="ListParagraph"/>
        <w:numPr>
          <w:ilvl w:val="0"/>
          <w:numId w:val="3"/>
        </w:numPr>
        <w:spacing w:after="60"/>
      </w:pPr>
      <w:r>
        <w:t xml:space="preserve">Public policy &amp; the legal aspects of data privacy</w:t>
      </w:r>
    </w:p>
    <w:p>
      <w:pPr>
        <w:pStyle w:val="ListParagraph"/>
        <w:numPr>
          <w:ilvl w:val="0"/>
          <w:numId w:val="3"/>
        </w:numPr>
        <w:spacing w:after="60"/>
      </w:pPr>
      <w:r>
        <w:t xml:space="preserve">Cryptography &amp; cryptographical aspects of data privacy</w:t>
      </w:r>
    </w:p>
    <w:p>
      <w:pPr>
        <w:pStyle w:val="ListParagraph"/>
        <w:numPr>
          <w:ilvl w:val="0"/>
          <w:numId w:val="3"/>
        </w:numPr>
        <w:spacing w:after="60"/>
      </w:pPr>
      <w:r>
        <w:t xml:space="preserve">The Technological Singularity</w:t>
      </w:r>
    </w:p>
    <w:p>
      <w:pPr>
        <w:pStyle w:val="ListParagraph"/>
        <w:numPr>
          <w:ilvl w:val="0"/>
          <w:numId w:val="3"/>
        </w:numPr>
        <w:spacing w:after="60"/>
      </w:pPr>
      <w:r>
        <w:t xml:space="preserve">Ad-hoc data anonymization &amp; differential privacy</w:t>
      </w:r>
    </w:p>
    <w:p>
      <w:pPr>
        <w:pStyle w:val="Heading1"/>
      </w:pPr>
      <w:r>
        <w:t xml:space="preserve">Assigned Reading</w:t>
      </w:r>
    </w:p>
    <w:p>
      <w:pPr>
        <w:pStyle w:val="Heading3"/>
      </w:pPr>
      <w:r>
        <w:t xml:space="preserve">Data Privacy Principles and Practice (Chapters 1–3)</w:t>
      </w:r>
    </w:p>
    <w:p>
      <w:r>
        <w:rPr>
          <w:b/>
          <w:bCs/>
        </w:rPr>
        <w:t xml:space="preserve">Key Concepts:</w:t>
      </w:r>
      <w:r>
        <w:t xml:space="preserve"> Explicit identifiers (e.g., name, Social Security number) directly identify an individual, whereas quasi-identifiers (QIs) are attributes—such as date of birth, gender, and ZIP code—that can be combined to re-identify individuals in supposedly anonymized datasets. Simply masking explicit identifiers is not sufficient to protect privacy; quasi-identifiers must also be protected. The challenge is to preserve the analytical utility of data while preventing re-identification. Understand how record linkage works: an attacker matches quasi-identifiers across datasets (e.g., a de-identified medical dataset and a public voter roll) to re-identify specific individuals. Beyond simple tabular data, the book also examines privacy challenges in complex data structures—longitudinal records, transactional data, and graph (network) data—where identity, links, and structural metrics must all be protected.</w:t>
      </w:r>
    </w:p>
    <w:p>
      <w:r>
        <w:rPr>
          <w:b/>
          <w:bCs/>
        </w:rPr>
        <w:t xml:space="preserve">Review Points:</w:t>
      </w:r>
    </w:p>
    <w:p>
      <w:pPr>
        <w:pStyle w:val="ListParagraph"/>
        <w:numPr>
          <w:ilvl w:val="0"/>
          <w:numId w:val="4"/>
        </w:numPr>
      </w:pPr>
      <w:r>
        <w:t xml:space="preserve">Differentiate between explicit identifiers and quasi-identifiers, and give examples of each.</w:t>
      </w:r>
    </w:p>
    <w:p>
      <w:pPr>
        <w:pStyle w:val="ListParagraph"/>
        <w:numPr>
          <w:ilvl w:val="0"/>
          <w:numId w:val="4"/>
        </w:numPr>
      </w:pPr>
      <w:r>
        <w:t xml:space="preserve">Explain how re-identification attacks work using quasi-identifiers and record linkage (e.g., the identification of Governor William Weld from de-identified medical records).</w:t>
      </w:r>
    </w:p>
    <w:p>
      <w:pPr>
        <w:pStyle w:val="ListParagraph"/>
        <w:numPr>
          <w:ilvl w:val="0"/>
          <w:numId w:val="4"/>
        </w:numPr>
      </w:pPr>
      <w:r>
        <w:t xml:space="preserve">Explain why removing explicit identifiers alone is insufficient to protect privacy.</w:t>
      </w:r>
    </w:p>
    <w:p>
      <w:pPr>
        <w:pStyle w:val="ListParagraph"/>
        <w:numPr>
          <w:ilvl w:val="0"/>
          <w:numId w:val="4"/>
        </w:numPr>
      </w:pPr>
      <w:r>
        <w:t xml:space="preserve">Discuss the tension between data utility and privacy protection.</w:t>
      </w:r>
    </w:p>
    <w:p>
      <w:pPr>
        <w:pStyle w:val="ListParagraph"/>
        <w:numPr>
          <w:ilvl w:val="0"/>
          <w:numId w:val="4"/>
        </w:numPr>
      </w:pPr>
      <w:r>
        <w:t xml:space="preserve">Identify the additional privacy challenges raised by longitudinal, transactional, and graph data.</w:t>
      </w:r>
    </w:p>
    <w:p>
      <w:pPr>
        <w:pStyle w:val="Heading3"/>
      </w:pPr>
      <w:r>
        <w:t xml:space="preserve">Humanizing Big Data (Chapter 1)</w:t>
      </w:r>
    </w:p>
    <w:p>
      <w:r>
        <w:rPr>
          <w:b/>
          <w:bCs/>
        </w:rPr>
        <w:t xml:space="preserve">Key Concepts:</w:t>
      </w:r>
      <w:r>
        <w:t xml:space="preserve"> Data-driven decisions can go wrong when the human context is ignored. Correlations in data are not the same as causal relationships, and misinterpreting them can lead to poor or harmful outcomes. Humanizing big data means integrating behavioral and social insights into data analysis to avoid these pitfalls.</w:t>
      </w:r>
    </w:p>
    <w:p>
      <w:r>
        <w:rPr>
          <w:b/>
          <w:bCs/>
        </w:rPr>
        <w:t xml:space="preserve">Review Points:</w:t>
      </w:r>
    </w:p>
    <w:p>
      <w:pPr>
        <w:pStyle w:val="ListParagraph"/>
        <w:numPr>
          <w:ilvl w:val="0"/>
          <w:numId w:val="5"/>
        </w:numPr>
      </w:pPr>
      <w:r>
        <w:t xml:space="preserve">Explain what it means to “humanize” big data and why it matters.</w:t>
      </w:r>
    </w:p>
    <w:p>
      <w:pPr>
        <w:pStyle w:val="ListParagraph"/>
        <w:numPr>
          <w:ilvl w:val="0"/>
          <w:numId w:val="5"/>
        </w:numPr>
      </w:pPr>
      <w:r>
        <w:t xml:space="preserve">Give an example of how ignoring the human element in data analysis can lead to problematic conclusions.</w:t>
      </w:r>
    </w:p>
    <w:p>
      <w:pPr>
        <w:pStyle w:val="Heading1"/>
      </w:pPr>
      <w:r>
        <w:t xml:space="preserve">Topic 0: Introduction to Data Privacy &amp; Security</w:t>
      </w:r>
    </w:p>
    <w:p>
      <w:r>
        <w:rPr>
          <w:b/>
          <w:bCs/>
        </w:rPr>
        <w:t xml:space="preserve">Key Concepts:</w:t>
      </w:r>
      <w:r>
        <w:t xml:space="preserve"> Modern data science enables companies to collect and analyze vast amounts of consumer data, yielding powerful predictions and insights—but also creating significant risks. Data aggregation (combining data from multiple sources) can reveal far more about individuals than any single dataset, and supposedly anonymized datasets have been shown to be vulnerable to re-identification. The Target pregnancy-prediction story illustrates how companies can infer sensitive personal information from purchasing patterns alone.</w:t>
      </w:r>
    </w:p>
    <w:p>
      <w:r>
        <w:rPr>
          <w:b/>
          <w:bCs/>
        </w:rPr>
        <w:t xml:space="preserve">Review Points:</w:t>
      </w:r>
    </w:p>
    <w:p>
      <w:pPr>
        <w:pStyle w:val="ListParagraph"/>
        <w:numPr>
          <w:ilvl w:val="0"/>
          <w:numId w:val="6"/>
        </w:numPr>
      </w:pPr>
      <w:r>
        <w:t xml:space="preserve">Describe how companies use consumer data for prediction and personalization, and identify the privacy risks involved.</w:t>
      </w:r>
    </w:p>
    <w:p>
      <w:pPr>
        <w:pStyle w:val="ListParagraph"/>
        <w:numPr>
          <w:ilvl w:val="0"/>
          <w:numId w:val="6"/>
        </w:numPr>
      </w:pPr>
      <w:r>
        <w:t xml:space="preserve">Explain why data aggregation poses a greater threat to privacy than any single piece of data.</w:t>
      </w:r>
    </w:p>
    <w:p>
      <w:pPr>
        <w:pStyle w:val="ListParagraph"/>
        <w:numPr>
          <w:ilvl w:val="0"/>
          <w:numId w:val="6"/>
        </w:numPr>
      </w:pPr>
      <w:r>
        <w:t xml:space="preserve">Discuss the ethical challenges that data science creates for individual privacy.</w:t>
      </w:r>
    </w:p>
    <w:p>
      <w:pPr>
        <w:pStyle w:val="Heading1"/>
      </w:pPr>
      <w:r>
        <w:t xml:space="preserve">Topic 1: Information Theory &amp; Password Security</w:t>
      </w:r>
    </w:p>
    <w:p>
      <w:r>
        <w:rPr>
          <w:b/>
          <w:bCs/>
        </w:rPr>
        <w:t xml:space="preserve">Key Concepts:</w:t>
      </w:r>
      <w:r>
        <w:t xml:space="preserve"> Information-theoretic entropy quantifies the amount of uncertainty or information in data, measured in bits. One bit corresponds to a single yes/no question (e.g., a coin flip has 1 bit of entropy). Entropy is calculated as log₂ of the number of equally likely possibilities: a six-sided die has log₂(6) ≈ 2.58 bits per roll. Redundancy is the difference between the number of bits used for storage and the actual entropy. There are approximately 33 bits of information in a human identity (since log₂(8 billion) ≈ 33), which means that learning facts about a person (eye color, location, age, etc.) progressively narrows down who they are. Password security depends on having high entropy: fewer than 25 bits is poor, 25–50 is weak, 50–75 is reasonable, 75–100 is good, and more than 100 is excellent. The relationship 2¹⁰ ≈ 10³ is useful for estimating password lengths. For encryption keys, 128 bits of entropy is the accepted minimum to resist brute-force attacks with classical computation, and 256 bits for quantum-resistant security.</w:t>
      </w:r>
    </w:p>
    <w:p>
      <w:r>
        <w:rPr>
          <w:b/>
          <w:bCs/>
        </w:rPr>
        <w:t xml:space="preserve">Review Points:</w:t>
      </w:r>
    </w:p>
    <w:p>
      <w:pPr>
        <w:pStyle w:val="ListParagraph"/>
        <w:numPr>
          <w:ilvl w:val="0"/>
          <w:numId w:val="7"/>
        </w:numPr>
      </w:pPr>
      <w:r>
        <w:t xml:space="preserve">Compute entropy for simple events (e.g., multiple coin flips, dice rolls, or combinations thereof).</w:t>
      </w:r>
    </w:p>
    <w:p>
      <w:pPr>
        <w:pStyle w:val="ListParagraph"/>
        <w:numPr>
          <w:ilvl w:val="0"/>
          <w:numId w:val="7"/>
        </w:numPr>
      </w:pPr>
      <w:r>
        <w:t xml:space="preserve">Explain the relationship between entropy and the number of yes/no questions needed to determine some unknown value.</w:t>
      </w:r>
    </w:p>
    <w:p>
      <w:pPr>
        <w:pStyle w:val="ListParagraph"/>
        <w:numPr>
          <w:ilvl w:val="0"/>
          <w:numId w:val="7"/>
        </w:numPr>
      </w:pPr>
      <w:r>
        <w:t xml:space="preserve">Calculate how many bits of information are revealed by learning a specific fact about a person (e.g., eye color, state of residence, age range).</w:t>
      </w:r>
    </w:p>
    <w:p>
      <w:pPr>
        <w:pStyle w:val="ListParagraph"/>
        <w:numPr>
          <w:ilvl w:val="0"/>
          <w:numId w:val="7"/>
        </w:numPr>
      </w:pPr>
      <w:r>
        <w:t xml:space="preserve">Explain why approximately 33 bits of information suffice to uniquely identify a person in the world’s population.</w:t>
      </w:r>
    </w:p>
    <w:p>
      <w:pPr>
        <w:pStyle w:val="ListParagraph"/>
        <w:numPr>
          <w:ilvl w:val="0"/>
          <w:numId w:val="7"/>
        </w:numPr>
      </w:pPr>
      <w:r>
        <w:t xml:space="preserve">Determine the minimum length of a random password needed to achieve a given level of entropy for various character sets (digits only, alphanumeric, full ASCII).</w:t>
      </w:r>
    </w:p>
    <w:p>
      <w:pPr>
        <w:pStyle w:val="ListParagraph"/>
        <w:numPr>
          <w:ilvl w:val="0"/>
          <w:numId w:val="7"/>
        </w:numPr>
      </w:pPr>
      <w:r>
        <w:t xml:space="preserve">Explain why high entropy strengthens passwords against brute-force attacks.</w:t>
      </w:r>
    </w:p>
    <w:p>
      <w:pPr>
        <w:pStyle w:val="ListParagraph"/>
        <w:numPr>
          <w:ilvl w:val="0"/>
          <w:numId w:val="7"/>
        </w:numPr>
      </w:pPr>
      <w:r>
        <w:t xml:space="preserve">State the accepted minimum entropy for encryption keys (128 bits classical, 256 bits quantum-resistant) and explain why brute-forcing 128-bit keys is infeasible.</w:t>
      </w:r>
    </w:p>
    <w:p>
      <w:pPr>
        <w:pStyle w:val="Heading1"/>
      </w:pPr>
      <w:r>
        <w:t xml:space="preserve">Topic 2: Human Psychology &amp; Social Aspects of Data Privacy</w:t>
      </w:r>
    </w:p>
    <w:p>
      <w:r>
        <w:rPr>
          <w:b/>
          <w:bCs/>
        </w:rPr>
        <w:t xml:space="preserve">Key Concepts:</w:t>
      </w:r>
      <w:r>
        <w:t xml:space="preserve"> Humans are not fully rational decision-makers; we are “predictably irrational” (Dan Ariely). Cognitive biases—such as the power of defaults, conformity, anchoring, and framing effects—systematically influence our choices in ways we often do not recognize, and these biases can be exploited to undermine privacy. The human brain consumes approximately 25% of the body’s energy. Cooking (and the resulting increase in caloric intake) was a key evolutionary factor that allowed human brains to grow much larger than those of other primates, enabling complex cognition and, crucially, social behavior. Humans are fundamentally social creatures—our large brains evolved primarily to navigate complex social relationships, not just to solve technical problems. Surveillance (both actual and perceived) induces self-censorship and behavioral changes, an effect described by the concept of the panopticon. Technology companies design products to exploit psychological instincts (e.g., variable reward schedules, social validation) to maximize engagement, often at the expense of user privacy and autonomy.</w:t>
      </w:r>
    </w:p>
    <w:p>
      <w:r>
        <w:rPr>
          <w:b/>
          <w:bCs/>
        </w:rPr>
        <w:t xml:space="preserve">Review Points:</w:t>
      </w:r>
    </w:p>
    <w:p>
      <w:pPr>
        <w:pStyle w:val="ListParagraph"/>
        <w:numPr>
          <w:ilvl w:val="0"/>
          <w:numId w:val="8"/>
        </w:numPr>
      </w:pPr>
      <w:r>
        <w:t xml:space="preserve">Describe the difference between rational and “predictably irrational” behavior, with examples from the Dan Ariely video.</w:t>
      </w:r>
    </w:p>
    <w:p>
      <w:pPr>
        <w:pStyle w:val="ListParagraph"/>
        <w:numPr>
          <w:ilvl w:val="0"/>
          <w:numId w:val="8"/>
        </w:numPr>
      </w:pPr>
      <w:r>
        <w:t xml:space="preserve">Identify specific cognitive biases (defaults, conformity, framing) and explain how each can be exploited to undermine privacy choices.</w:t>
      </w:r>
    </w:p>
    <w:p>
      <w:pPr>
        <w:pStyle w:val="ListParagraph"/>
        <w:numPr>
          <w:ilvl w:val="0"/>
          <w:numId w:val="8"/>
        </w:numPr>
      </w:pPr>
      <w:r>
        <w:t xml:space="preserve">Explain the evolutionary factors that led to the human brain’s large size (cooking, caloric surplus) and why this matters for understanding human behavior.</w:t>
      </w:r>
    </w:p>
    <w:p>
      <w:pPr>
        <w:pStyle w:val="ListParagraph"/>
        <w:numPr>
          <w:ilvl w:val="0"/>
          <w:numId w:val="8"/>
        </w:numPr>
      </w:pPr>
      <w:r>
        <w:t xml:space="preserve">Discuss why humans are fundamentally social creatures and what implications this has for data privacy.</w:t>
      </w:r>
    </w:p>
    <w:p>
      <w:pPr>
        <w:pStyle w:val="ListParagraph"/>
        <w:numPr>
          <w:ilvl w:val="0"/>
          <w:numId w:val="8"/>
        </w:numPr>
      </w:pPr>
      <w:r>
        <w:t xml:space="preserve">Explain the panopticon effect: how surveillance (or even the perception of surveillance) changes behavior.</w:t>
      </w:r>
    </w:p>
    <w:p>
      <w:pPr>
        <w:pStyle w:val="ListParagraph"/>
        <w:numPr>
          <w:ilvl w:val="0"/>
          <w:numId w:val="8"/>
        </w:numPr>
      </w:pPr>
      <w:r>
        <w:t xml:space="preserve">Describe how technology companies exploit human psychology to maximize engagement (e.g., “brain hacking”), and discuss the privacy implications.</w:t>
      </w:r>
    </w:p>
    <w:p>
      <w:pPr>
        <w:pStyle w:val="ListParagraph"/>
        <w:numPr>
          <w:ilvl w:val="0"/>
          <w:numId w:val="8"/>
        </w:numPr>
      </w:pPr>
      <w:r>
        <w:t xml:space="preserve">Explain the distinction between the technical and human components of security (using the automobile safety analogy).</w:t>
      </w:r>
    </w:p>
    <w:p>
      <w:pPr>
        <w:pStyle w:val="Heading1"/>
      </w:pPr>
      <w:r>
        <w:t xml:space="preserve">Topic 3: Public Policy &amp; Legal Aspects of Data Privacy</w:t>
      </w:r>
    </w:p>
    <w:p>
      <w:r>
        <w:rPr>
          <w:b/>
          <w:bCs/>
        </w:rPr>
        <w:t xml:space="preserve">Key Concepts:</w:t>
      </w:r>
      <w:r>
        <w:t xml:space="preserve"> Privacy and anonymity are complementary concepts: under privacy, we know a person’s identity but not some associated personal fact; under anonymity, we know a personal fact but not the identity of the person it belongs to. Consent-based approaches to data privacy are often ineffective because privacy policies are too long and complex for anyone to meaningfully read and understand. The OECD Fair Information Practices (FIPs) provide eight foundational principles for data protection: (1) Collection Limitation—collect only necessary data; (2) Data Quality—ensure data is accurate, complete, and relevant to its purpose; (3) Purpose Specification—state how data will be used before collecting it; (4) Use Limitation—restrict use to stated purposes unless consent is given; (5) Security Safeguards—protect data with reasonable security measures; (6) Openness—be transparent about data collection practices; (7) Individual Participation—give individuals the right to access, correct, and delete their data; (8) Accountability—data controllers must comply with these principles. Ubiquitous data collection creates personal, social, and political problems, and these principles provide a framework for addressing them through policy.</w:t>
      </w:r>
    </w:p>
    <w:p>
      <w:r>
        <w:rPr>
          <w:b/>
          <w:bCs/>
        </w:rPr>
        <w:t xml:space="preserve">Review Points:</w:t>
      </w:r>
    </w:p>
    <w:p>
      <w:pPr>
        <w:pStyle w:val="ListParagraph"/>
        <w:numPr>
          <w:ilvl w:val="0"/>
          <w:numId w:val="9"/>
        </w:numPr>
      </w:pPr>
      <w:r>
        <w:t xml:space="preserve">Clearly explain the difference between privacy and anonymity.</w:t>
      </w:r>
    </w:p>
    <w:p>
      <w:pPr>
        <w:pStyle w:val="ListParagraph"/>
        <w:numPr>
          <w:ilvl w:val="0"/>
          <w:numId w:val="9"/>
        </w:numPr>
      </w:pPr>
      <w:r>
        <w:t xml:space="preserve">Explain why consent-based approaches to data privacy are flawed.</w:t>
      </w:r>
    </w:p>
    <w:p>
      <w:pPr>
        <w:pStyle w:val="ListParagraph"/>
        <w:numPr>
          <w:ilvl w:val="0"/>
          <w:numId w:val="9"/>
        </w:numPr>
      </w:pPr>
      <w:r>
        <w:t xml:space="preserve">Know, state, and explain each of the eight OECD Fair Information Practices.</w:t>
      </w:r>
    </w:p>
    <w:p>
      <w:pPr>
        <w:pStyle w:val="ListParagraph"/>
        <w:numPr>
          <w:ilvl w:val="0"/>
          <w:numId w:val="9"/>
        </w:numPr>
      </w:pPr>
      <w:r>
        <w:t xml:space="preserve">Apply the OECD principles to a specific scenario (e.g., an e-commerce personalization system) and identify which principles are or are not being followed.</w:t>
      </w:r>
    </w:p>
    <w:p>
      <w:pPr>
        <w:pStyle w:val="ListParagraph"/>
        <w:numPr>
          <w:ilvl w:val="0"/>
          <w:numId w:val="9"/>
        </w:numPr>
      </w:pPr>
      <w:r>
        <w:t xml:space="preserve">Discuss the personal, social, and political problems caused by the lack of data privacy and security.</w:t>
      </w:r>
    </w:p>
    <w:p>
      <w:pPr>
        <w:pStyle w:val="ListParagraph"/>
        <w:numPr>
          <w:ilvl w:val="0"/>
          <w:numId w:val="9"/>
        </w:numPr>
      </w:pPr>
      <w:r>
        <w:t xml:space="preserve">Articulate why data privacy policy must account for human psychology and how people actually make decisions.</w:t>
      </w:r>
    </w:p>
    <w:p>
      <w:pPr>
        <w:pStyle w:val="Heading1"/>
      </w:pPr>
      <w:r>
        <w:t xml:space="preserve">Topic 4: Cryptography</w:t>
      </w:r>
    </w:p>
    <w:p>
      <w:r>
        <w:rPr>
          <w:b/>
          <w:bCs/>
        </w:rPr>
        <w:t xml:space="preserve">Key Concepts:</w:t>
      </w:r>
      <w:r>
        <w:t xml:space="preserve"> A Caesar cipher is a simple substitution cipher that shifts each letter by a fixed number of positions in the alphabet; it is trivially breakable because the key space is only 26 (or fewer). A general substitution cipher (cryptogram) replaces each letter with a potentially different letter, giving a key space of 26! that is much harder to brute-force but still vulnerable to frequency analysis. Modern symmetric ciphers use a single shared key for both encryption and decryption and combine confusion (substitution) and diffusion (transposition/permutation) over multiple rounds; AES-128, for example, uses 10 rounds. DES (IBM, 1976) has a 56-bit key and is brute-forceable on modern hardware, which is why it was replaced by AES (2001), available with 128-, 192-, or 256-bit keys; brute-forcing a 128-bit key is infeasible on timescales comparable to the age of the universe. No cipher has a mathematically proven unconditional security guarantee—the security of all practical ciphers ultimately rests on the assumption that P ≠ NP. Asymmetric (public-key) cryptography uses two mathematically linked keys: a public key used to encrypt and a private key used to decrypt, so parties can communicate securely without first sharing a secret. Public-key schemes are built on trapdoor functions—functions easy to compute in one direction but hard to reverse without the “trapdoor” (the private key). RSA’s trapdoor is the hardness of factoring large composite numbers, and Diffie–Hellman key exchange is based on the hardness of the discrete logarithm problem.</w:t>
      </w:r>
    </w:p>
    <w:p>
      <w:r>
        <w:rPr>
          <w:b/>
          <w:bCs/>
        </w:rPr>
        <w:t xml:space="preserve">Review Points:</w:t>
      </w:r>
    </w:p>
    <w:p>
      <w:pPr>
        <w:pStyle w:val="ListParagraph"/>
        <w:numPr>
          <w:ilvl w:val="0"/>
          <w:numId w:val="10"/>
        </w:numPr>
      </w:pPr>
      <w:r>
        <w:t xml:space="preserve">Encrypt and decrypt messages using a Caesar cipher with a given shift.</w:t>
      </w:r>
    </w:p>
    <w:p>
      <w:pPr>
        <w:pStyle w:val="ListParagraph"/>
        <w:numPr>
          <w:ilvl w:val="0"/>
          <w:numId w:val="10"/>
        </w:numPr>
      </w:pPr>
      <w:r>
        <w:t xml:space="preserve">Explain why the Caesar cipher is insecure (small key space of 26).</w:t>
      </w:r>
    </w:p>
    <w:p>
      <w:pPr>
        <w:pStyle w:val="ListParagraph"/>
        <w:numPr>
          <w:ilvl w:val="0"/>
          <w:numId w:val="10"/>
        </w:numPr>
      </w:pPr>
      <w:r>
        <w:t xml:space="preserve">Describe what a substitution cipher (cryptogram) is and how it generalizes the Caesar cipher.</w:t>
      </w:r>
    </w:p>
    <w:p>
      <w:pPr>
        <w:pStyle w:val="ListParagraph"/>
        <w:numPr>
          <w:ilvl w:val="0"/>
          <w:numId w:val="10"/>
        </w:numPr>
      </w:pPr>
      <w:r>
        <w:t xml:space="preserve">Explain what a key space is and why a larger key space makes a cipher harder to break.</w:t>
      </w:r>
    </w:p>
    <w:p>
      <w:pPr>
        <w:pStyle w:val="ListParagraph"/>
        <w:numPr>
          <w:ilvl w:val="0"/>
          <w:numId w:val="10"/>
        </w:numPr>
      </w:pPr>
      <w:r>
        <w:t xml:space="preserve">State the key features of DES and AES (block sizes, key sizes, number of rounds) and explain why brute-forcing DES is feasible while brute-forcing AES is not.</w:t>
      </w:r>
    </w:p>
    <w:p>
      <w:pPr>
        <w:pStyle w:val="ListParagraph"/>
        <w:numPr>
          <w:ilvl w:val="0"/>
          <w:numId w:val="10"/>
        </w:numPr>
      </w:pPr>
      <w:r>
        <w:t xml:space="preserve">Explain the roles of confusion and diffusion in modern symmetric ciphers, and why multiple rounds are used.</w:t>
      </w:r>
    </w:p>
    <w:p>
      <w:pPr>
        <w:pStyle w:val="ListParagraph"/>
        <w:numPr>
          <w:ilvl w:val="0"/>
          <w:numId w:val="10"/>
        </w:numPr>
      </w:pPr>
      <w:r>
        <w:t xml:space="preserve">Define a trapdoor function and explain the relevance of the assumption P ≠ NP to the security of modern ciphers.</w:t>
      </w:r>
    </w:p>
    <w:p>
      <w:pPr>
        <w:pStyle w:val="ListParagraph"/>
        <w:numPr>
          <w:ilvl w:val="0"/>
          <w:numId w:val="10"/>
        </w:numPr>
      </w:pPr>
      <w:r>
        <w:t xml:space="preserve">Explain how public-key cryptography works: the roles of the public and private keys, and why two parties can communicate securely without first sharing a secret.</w:t>
      </w:r>
    </w:p>
    <w:p>
      <w:pPr>
        <w:pStyle w:val="ListParagraph"/>
        <w:numPr>
          <w:ilvl w:val="0"/>
          <w:numId w:val="10"/>
        </w:numPr>
      </w:pPr>
      <w:r>
        <w:t xml:space="preserve">Describe the Diffie–Hellman key exchange, the “flipping a coin over the telephone” protocol, and RSA, and identify the trapdoor function underlying each.</w:t>
      </w:r>
    </w:p>
    <w:p>
      <w:pPr>
        <w:pStyle w:val="Heading1"/>
      </w:pPr>
      <w:r>
        <w:t xml:space="preserve">Topic 5: The Technological Singularity</w:t>
      </w:r>
    </w:p>
    <w:p>
      <w:r>
        <w:rPr>
          <w:b/>
          <w:bCs/>
        </w:rPr>
        <w:t xml:space="preserve">Key Concepts:</w:t>
      </w:r>
      <w:r>
        <w:t xml:space="preserve"> Computing capability has grown roughly exponentially for decades, a pattern captured by Moore’s Law (the observation that the number of transistors on an integrated circuit has doubled approximately every two years). Similar exponential trends hold across storage, bandwidth, and—most importantly for this topic—the capabilities of artificial intelligence systems. Extrapolating these curves forward leads to the idea of the Technological Singularity: a hypothesized point at which machine intelligence reaches and then surpasses human intelligence. The modern use of the term was crystallized by Vernor Vinge (“The Coming Technological Singularity,” 1993) and popularized by Ray Kurzweil, whose “Law of Accelerating Returns” argues that technological progress itself is exponential and that the Singularity is therefore a predictable—and relatively near-term—consequence of continued exponential growth. Along the way, systems progress from narrow AI (good at specific tasks) toward artificial general intelligence (AGI, capable of human-level performance across arbitrary cognitive tasks) and then potentially superintelligence (systems whose general cognitive capacity substantially exceeds that of humans). A superintelligent system could, in principle, engage in recursive self-improvement—redesigning itself to become even more capable—producing an accelerating feedback loop whose trajectory is difficult for humans to predict or control. The Singularity matters for data privacy and security because increasingly capable AI systems are trained on, and operate over, enormous quantities of personal data. They can model, predict, and influence human behavior at unprecedented scale, automate privacy-relevant decisions (hiring, lending, surveillance, content moderation), and create significant asymmetries of power between those who control the systems and the individuals whose data they consume. Any serious data-privacy framework must therefore reckon with the trajectory of AI capability, not just with the state of the technology today.</w:t>
      </w:r>
    </w:p>
    <w:p>
      <w:r>
        <w:rPr>
          <w:b/>
          <w:bCs/>
        </w:rPr>
        <w:t xml:space="preserve">Review Points:</w:t>
      </w:r>
    </w:p>
    <w:p>
      <w:pPr>
        <w:pStyle w:val="ListParagraph"/>
        <w:numPr>
          <w:ilvl w:val="0"/>
          <w:numId w:val="12"/>
        </w:numPr>
      </w:pPr>
      <w:r>
        <w:t xml:space="preserve">State Moore’s Law and explain what it implies about the long-run trajectory of computing capability.</w:t>
      </w:r>
    </w:p>
    <w:p>
      <w:pPr>
        <w:pStyle w:val="ListParagraph"/>
        <w:numPr>
          <w:ilvl w:val="0"/>
          <w:numId w:val="12"/>
        </w:numPr>
      </w:pPr>
      <w:r>
        <w:t xml:space="preserve">Distinguish narrow AI from artificial general intelligence (AGI), and AGI from superintelligence.</w:t>
      </w:r>
    </w:p>
    <w:p>
      <w:pPr>
        <w:pStyle w:val="ListParagraph"/>
        <w:numPr>
          <w:ilvl w:val="0"/>
          <w:numId w:val="12"/>
        </w:numPr>
      </w:pPr>
      <w:r>
        <w:t xml:space="preserve">Define the Technological Singularity (per Vinge and Kurzweil) and explain what is meant by recursive self-improvement and why it could produce rapid, hard-to-predict change.</w:t>
      </w:r>
    </w:p>
    <w:p>
      <w:pPr>
        <w:pStyle w:val="ListParagraph"/>
        <w:numPr>
          <w:ilvl w:val="0"/>
          <w:numId w:val="12"/>
        </w:numPr>
      </w:pPr>
      <w:r>
        <w:t xml:space="preserve">Discuss the privacy and societal implications of increasingly capable AI systems: large-scale behavioral prediction and influence, automated decision-making in privacy-relevant domains, and asymmetries of power between data controllers and individuals.</w:t>
      </w:r>
    </w:p>
    <w:p>
      <w:pPr>
        <w:pStyle w:val="ListParagraph"/>
        <w:numPr>
          <w:ilvl w:val="0"/>
          <w:numId w:val="12"/>
        </w:numPr>
      </w:pPr>
      <w:r>
        <w:t xml:space="preserve">Explain why data-privacy policy needs to account for the trajectory of AI capability, not just the current state of the technology.</w:t>
      </w:r>
    </w:p>
    <w:p>
      <w:pPr>
        <w:pStyle w:val="Heading1"/>
      </w:pPr>
      <w:r>
        <w:t xml:space="preserve">Topic 6: Ad-hoc Data Anonymization &amp; Differential Privacy</w:t>
      </w:r>
    </w:p>
    <w:p>
      <w:r>
        <w:rPr>
          <w:b/>
          <w:bCs/>
        </w:rPr>
        <w:t xml:space="preserve">Key Concepts:</w:t>
      </w:r>
      <w:r>
        <w:t xml:space="preserve"> Data attributes in a privacy-sensitive dataset are classified into four categories: explicit identifiers (EI) that directly identify an individual (e.g., name, SSN); quasi-identifiers (QI) that do not identify alone but can in combination (e.g., date of birth, ZIP code, gender); sensitive data (SD) whose disclosure harms the individual (e.g., diagnosis, salary); and non-sensitive data (NSD). Because masking EIs alone is insufficient, QIs must also be protected. Anonymization techniques fall into two broad families: perturbative methods (which modify values—e.g., additive or multiplicative noise, randomization, data swapping, micro-aggregation, suppression at the value level) and non-perturbative methods (which preserve values but reduce precision or structure—e.g., generalization, global or local recoding, top/bottom coding, sampling, and suppression at the record level). k-anonymity requires each record to be indistinguishable from at least k − 1 other records on its QIs, typically achieved by generalization and suppression; finding an optimal k-anonymization is NP-hard, and k-anonymity alone is vulnerable to homogeneity attacks (when all records in an equivalence class share the same sensitive value) and to background-knowledge attacks. Complex data structures raise distinct privacy challenges: longitudinal data (repeated observations of the same individuals) can leak identity through unique trajectories; transactional data (sets of items per individual) is high-dimensional and sparse, making standard generalization ineffective; and graph data requires protecting not just node identities but also link (edge) information and structural metrics such as degree, centrality, betweenness, and closeness. Across all of these settings, anonymization involves a fundamental privacy–utility trade-off: stronger privacy guarantees generally reduce the analytical utility of the data. A complementary approach, differential privacy, shifts the focus from transforming the dataset to constraining the algorithm that releases results; its central guarantee is quantified by a privacy-loss parameter ε (epsilon).</w:t>
      </w:r>
    </w:p>
    <w:p>
      <w:r>
        <w:rPr>
          <w:b/>
          <w:bCs/>
        </w:rPr>
        <w:t xml:space="preserve">Review Points:</w:t>
      </w:r>
    </w:p>
    <w:p>
      <w:pPr>
        <w:pStyle w:val="ListParagraph"/>
        <w:numPr>
          <w:ilvl w:val="0"/>
          <w:numId w:val="11"/>
        </w:numPr>
      </w:pPr>
      <w:r>
        <w:t xml:space="preserve">Classify attributes as explicit identifiers, quasi-identifiers, sensitive data, or non-sensitive data, and give examples of each.</w:t>
      </w:r>
    </w:p>
    <w:p>
      <w:pPr>
        <w:pStyle w:val="ListParagraph"/>
        <w:numPr>
          <w:ilvl w:val="0"/>
          <w:numId w:val="11"/>
        </w:numPr>
      </w:pPr>
      <w:r>
        <w:t xml:space="preserve">Explain the privacy–utility trade-off and why stronger anonymization typically reduces analytical utility.</w:t>
      </w:r>
    </w:p>
    <w:p>
      <w:pPr>
        <w:pStyle w:val="ListParagraph"/>
        <w:numPr>
          <w:ilvl w:val="0"/>
          <w:numId w:val="11"/>
        </w:numPr>
      </w:pPr>
      <w:r>
        <w:t xml:space="preserve">Distinguish perturbative from non-perturbative anonymization techniques, and give examples of each (e.g., noise addition vs. generalization).</w:t>
      </w:r>
    </w:p>
    <w:p>
      <w:pPr>
        <w:pStyle w:val="ListParagraph"/>
        <w:numPr>
          <w:ilvl w:val="0"/>
          <w:numId w:val="11"/>
        </w:numPr>
      </w:pPr>
      <w:r>
        <w:t xml:space="preserve">Define k-anonymity and explain how it is achieved through generalization and suppression on quasi-identifiers.</w:t>
      </w:r>
    </w:p>
    <w:p>
      <w:pPr>
        <w:pStyle w:val="ListParagraph"/>
        <w:numPr>
          <w:ilvl w:val="0"/>
          <w:numId w:val="11"/>
        </w:numPr>
      </w:pPr>
      <w:r>
        <w:t xml:space="preserve">Describe the limitations of k-anonymity (NP-hardness, homogeneity attacks, background-knowledge attacks).</w:t>
      </w:r>
    </w:p>
    <w:p>
      <w:pPr>
        <w:pStyle w:val="ListParagraph"/>
        <w:numPr>
          <w:ilvl w:val="0"/>
          <w:numId w:val="11"/>
        </w:numPr>
      </w:pPr>
      <w:r>
        <w:t xml:space="preserve">Identify the privacy challenges specific to longitudinal, transactional, and graph data, and explain why standard tabular techniques may not suffice.</w:t>
      </w:r>
    </w:p>
    <w:p>
      <w:pPr>
        <w:pStyle w:val="ListParagraph"/>
        <w:numPr>
          <w:ilvl w:val="0"/>
          <w:numId w:val="11"/>
        </w:numPr>
      </w:pPr>
      <w:r>
        <w:t xml:space="preserve">For graph data, explain what must be protected in addition to node identity (e.g., link information and structural metrics such as degree, centrality, betweenness, and closeness).</w:t>
      </w:r>
    </w:p>
    <w:p>
      <w:pPr>
        <w:pStyle w:val="ListParagraph"/>
        <w:numPr>
          <w:ilvl w:val="0"/>
          <w:numId w:val="11"/>
        </w:numPr>
        <w:spacing w:after="60"/>
      </w:pPr>
      <w:r>
        <w:t xml:space="preserve">Define Differential Privacy and the role of ε (epsilon).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2026-03-11T02:47:25.707Z</dcterms:created>
  <dcterms:modified xsi:type="dcterms:W3CDTF">2026-03-11T02:47:25.707Z</dcterms:modified>
</cp:coreProperties>
</file>

<file path=docProps/custom.xml><?xml version="1.0" encoding="utf-8"?>
<Properties xmlns="http://schemas.openxmlformats.org/officeDocument/2006/custom-properties" xmlns:vt="http://schemas.openxmlformats.org/officeDocument/2006/docPropsVTypes"/>
</file>