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Table 1: Lysosomal-related genes SNV variants found in the Lower Grade Glioma dataset. The dbSNP codes, pathogenicity classification and allele frequencies are shown in the columns.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554.0" w:type="dxa"/>
        <w:jc w:val="left"/>
        <w:tblInd w:w="-420.0" w:type="dxa"/>
        <w:tblLayout w:type="fixed"/>
        <w:tblLook w:val="0000"/>
      </w:tblPr>
      <w:tblGrid>
        <w:gridCol w:w="1289"/>
        <w:gridCol w:w="1951"/>
        <w:gridCol w:w="4830"/>
        <w:gridCol w:w="4484"/>
        <w:tblGridChange w:id="0">
          <w:tblGrid>
            <w:gridCol w:w="1289"/>
            <w:gridCol w:w="1951"/>
            <w:gridCol w:w="4830"/>
            <w:gridCol w:w="4484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Lower Grade Glioma, TCGA-LGG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Gene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dbSNP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Prediction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gnomAD Allele Frequency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CTSA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rs375345060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Deleterious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0.0000159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FUCA1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rs750020102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Probably damaging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0.0000309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FUCA1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rs749269943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Probably damaging, deleterious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0.0000636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rs753483808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Possibly damaging, deleterious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0.000148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GAA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rs752421149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Probably damaging, deleterious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GLB1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rs375582374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Probably damaging, deleterious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0.0000161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GUSB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rs747572640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Possibly damaging, deleterious</w:t>
            </w:r>
            <w:r w:rsidDel="00000000" w:rsidR="00000000" w:rsidRPr="00000000">
              <w:rPr>
                <w:vertAlign w:val="superscript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0.00000795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HGSNAT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rs193066451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Splice donor, deleterious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0.0000403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HYAL1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rs781788934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Possibly damaging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0.000016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IDS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rs368513342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Possibly damaging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0.0000115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MAN2B1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rs148661421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Possibly damaging, deleterious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0.0000239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MAN2B1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rs754036398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Probably damaging, deleterious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0.00000398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MANBA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rs150554352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Possibly damaging, deleterious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0.00222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MCOLN1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rs151300825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Probably damaging, deleterious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0.000012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NPC1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rs765729815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vertAlign w:val="superscript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vertAlign w:val="baseline"/>
                <w:rtl w:val="0"/>
              </w:rPr>
              <w:t xml:space="preserve">Probably damaging</w:t>
            </w:r>
            <w:r w:rsidDel="00000000" w:rsidR="00000000" w:rsidRPr="00000000">
              <w:rPr>
                <w:rFonts w:ascii="Arial" w:cs="Arial" w:eastAsia="Arial" w:hAnsi="Arial"/>
                <w:vertAlign w:val="superscript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0.000004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PSAP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rs1165032545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Probably damaging, deleterious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0.00000398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SUMF1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rs1249221556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Possibly damaging, deleterious</w:t>
            </w:r>
          </w:p>
        </w:tc>
        <w:tc>
          <w:tcPr>
            <w:tcBorders>
              <w:bottom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0.0000119</w:t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Reported in MPS VII 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studies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(Vervoort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, 1996; Tomatsu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, 2009).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Reported in MPS 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IIIC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16"/>
          <w:szCs w:val="16"/>
          <w:rtl w:val="0"/>
        </w:rPr>
        <w:t xml:space="preserve">studies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(Fan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, 2006; Hrebícek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, 2006; Feldhammer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, 2009).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Reported in Niemann-Pick type C studies (Garver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, 2010; Macías-Vidal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, 2011; Koens </w:t>
      </w:r>
      <w:r w:rsidDel="00000000" w:rsidR="00000000" w:rsidRPr="00000000">
        <w:rPr>
          <w:rFonts w:ascii="Arial" w:cs="Arial" w:eastAsia="Arial" w:hAnsi="Arial"/>
          <w:i w:val="1"/>
          <w:sz w:val="16"/>
          <w:szCs w:val="16"/>
          <w:rtl w:val="0"/>
        </w:rPr>
        <w:t xml:space="preserve">et al.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, 2016).</w:t>
      </w:r>
    </w:p>
    <w:sectPr>
      <w:pgSz w:h="11906" w:w="16838" w:orient="landscape"/>
      <w:pgMar w:bottom="1133" w:top="1133" w:left="1133" w:right="113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spacing w:after="0" w:before="0"/>
      <w:jc w:val="left"/>
    </w:pPr>
    <w:rPr>
      <w:rFonts w:ascii="Liberation Serif" w:cs="Lohit Devanagari" w:eastAsia="Noto Sans CJK SC" w:hAnsi="Liberation Serif"/>
      <w:color w:val="auto"/>
      <w:kern w:val="2"/>
      <w:sz w:val="24"/>
      <w:szCs w:val="24"/>
      <w:lang w:bidi="hi-IN" w:eastAsia="zh-CN" w:val="pt-BR"/>
    </w:rPr>
  </w:style>
  <w:style w:type="paragraph" w:styleId="Ttulo1">
    <w:name w:val="Heading 1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Ttulo2">
    <w:name w:val="Heading 2"/>
    <w:basedOn w:val="LOnormal"/>
    <w:next w:val="LOnormal"/>
    <w:qFormat w:val="1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Ttulo3">
    <w:name w:val="Heading 3"/>
    <w:basedOn w:val="LOnormal"/>
    <w:next w:val="LOnormal"/>
    <w:qFormat w:val="1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Ttulo4">
    <w:name w:val="Heading 4"/>
    <w:basedOn w:val="LOnormal"/>
    <w:next w:val="LOnormal"/>
    <w:qFormat w:val="1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LOnormal"/>
    <w:next w:val="LOnormal"/>
    <w:qFormat w:val="1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LOnormal"/>
    <w:next w:val="LOnormal"/>
    <w:qFormat w:val="1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character" w:styleId="LinkdaInternet">
    <w:name w:val="Link da Internet"/>
    <w:rPr>
      <w:color w:val="000080"/>
      <w:u w:val="single"/>
      <w:lang w:bidi="zxx" w:eastAsia="zxx" w:val="zxx"/>
    </w:rPr>
  </w:style>
  <w:style w:type="paragraph" w:styleId="Ttulo">
    <w:name w:val="Título"/>
    <w:basedOn w:val="LO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LO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LOnormal"/>
    <w:qFormat w:val="1"/>
    <w:pPr>
      <w:suppressLineNumbers w:val="1"/>
    </w:pPr>
    <w:rPr>
      <w:rFonts w:cs="Lohit Devanagari"/>
    </w:rPr>
  </w:style>
  <w:style w:type="paragraph" w:styleId="Normal1" w:default="1">
    <w:name w:val="LO-normal1"/>
    <w:qFormat w:val="1"/>
    <w:pPr>
      <w:widowControl w:val="1"/>
      <w:bidi w:val="0"/>
      <w:spacing w:after="0" w:before="0"/>
      <w:jc w:val="left"/>
    </w:pPr>
    <w:rPr>
      <w:rFonts w:ascii="Arial" w:cs="Arial" w:eastAsia="Arial" w:hAnsi="Arial"/>
      <w:color w:val="auto"/>
      <w:kern w:val="0"/>
      <w:sz w:val="24"/>
      <w:szCs w:val="24"/>
      <w:lang w:bidi="hi-IN" w:eastAsia="zh-CN" w:val="pt-BR"/>
    </w:rPr>
  </w:style>
  <w:style w:type="paragraph" w:styleId="Ttulododocumento">
    <w:name w:val="Title"/>
    <w:basedOn w:val="LOnormal"/>
    <w:next w:val="LOnormal"/>
    <w:qFormat w:val="1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LOnormal" w:default="1">
    <w:name w:val="LO-normal"/>
    <w:qFormat w:val="1"/>
    <w:pPr>
      <w:widowControl w:val="1"/>
      <w:bidi w:val="0"/>
      <w:spacing w:after="0" w:before="0"/>
      <w:jc w:val="left"/>
    </w:pPr>
    <w:rPr>
      <w:rFonts w:ascii="Liberation Serif" w:cs="Liberation Serif" w:eastAsia="Liberation Serif" w:hAnsi="Liberation Serif"/>
      <w:color w:val="auto"/>
      <w:kern w:val="0"/>
      <w:sz w:val="24"/>
      <w:szCs w:val="24"/>
      <w:lang w:bidi="hi-IN" w:eastAsia="zh-CN" w:val="pt-BR"/>
    </w:rPr>
  </w:style>
  <w:style w:type="paragraph" w:styleId="Contedodatabela">
    <w:name w:val="Conteúdo da tabela"/>
    <w:basedOn w:val="LOnormal"/>
    <w:qFormat w:val="1"/>
    <w:pPr>
      <w:suppressLineNumbers w:val="1"/>
    </w:pPr>
    <w:rPr/>
  </w:style>
  <w:style w:type="paragraph" w:styleId="Ttulodetabela">
    <w:name w:val="Título de tabela"/>
    <w:basedOn w:val="Contedodatabela"/>
    <w:qFormat w:val="1"/>
    <w:pPr>
      <w:suppressLineNumbers w:val="1"/>
      <w:jc w:val="center"/>
    </w:pPr>
    <w:rPr>
      <w:b w:val="1"/>
      <w:bCs w:val="1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Table 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3CV+qBSrs5jaDeuWI5/bGg0T0w==">AMUW2mVhvFoGqvCxt+EizUH4SJI3NNLNIdc7KlIN1RzMC+SkKfGX11viEzNXSoMjEJit55eQsZhXe0JfK7KfnRhB3SMaOlgG7REolKsXXCDrRrpQf4xYYmc=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2020-02-01T13:28:54Z</dcterms:created>
</cp:coreProperties>
</file>