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D3A5D" w14:textId="1E970334" w:rsidR="00C6617D" w:rsidRDefault="00C6617D" w:rsidP="00935488">
      <w:pPr>
        <w:pStyle w:val="Heading1"/>
        <w:jc w:val="center"/>
        <w:rPr>
          <w:rFonts w:ascii="Times New Roman" w:hAnsi="Times New Roman" w:cs="Times New Roman"/>
          <w:color w:val="000000"/>
        </w:rPr>
      </w:pPr>
      <w:bookmarkStart w:id="1" w:name="_Toc231264546"/>
      <w:r w:rsidRPr="00935488">
        <w:rPr>
          <w:rFonts w:ascii="Times New Roman" w:hAnsi="Times New Roman" w:cs="Times New Roman"/>
          <w:color w:val="000000"/>
        </w:rPr>
        <w:lastRenderedPageBreak/>
        <w:t>ABSTRACT</w:t>
      </w:r>
      <w:bookmarkEnd w:id="1"/>
    </w:p>
    <w:p w14:paraId="2A3C0B20" w14:textId="77777777" w:rsidR="00205173" w:rsidRPr="00205173" w:rsidRDefault="00205173" w:rsidP="00205173"/>
    <w:p w14:paraId="2474BD21" w14:textId="1097260D" w:rsidR="00C6617D" w:rsidRDefault="00C6617D">
      <w:pPr>
        <w:spacing w:after="120" w:line="360" w:lineRule="auto"/>
        <w:ind w:firstLine="403"/>
        <w:jc w:val="both"/>
      </w:pPr>
      <w:r>
        <w:t>The proliferation of multi-tenant Enterprise Resource Planning (ERP) systems has democratized access to embedded Machine Learning (ML) services for Small and Medium-sized Enterprises (SMEs). Modern ERP platforms ship with predictive modules for late-payment risk, lead scoring, and employee attrition, and increasingly augment these models with post-hoc Explainable AI (XAI) techniques such as SHAP and LIME. While the data-rich enterprise regime is well served by this combination, the long tail of cold-start tenants</w:t>
      </w:r>
      <w:r w:rsidR="00E64620">
        <w:t xml:space="preserve"> </w:t>
      </w:r>
      <w:r>
        <w:t>those with only tens or hundreds of historical records</w:t>
      </w:r>
      <w:r w:rsidR="00E64620">
        <w:t xml:space="preserve"> </w:t>
      </w:r>
      <w:r>
        <w:t xml:space="preserve">reveals a previously under-examined failure mode: hallucinated explanations. SHAP and LIME continue to produce confident, well-formatted attributions even when the underlying classifier is statistically equivalent to random guessing, exposing SME users to </w:t>
      </w:r>
      <w:proofErr w:type="gramStart"/>
      <w:r>
        <w:t>authoritative-looking</w:t>
      </w:r>
      <w:proofErr w:type="gramEnd"/>
      <w:r>
        <w:t xml:space="preserve"> but epistemically empty recommendations. This thesis quantifies the phenomenon through a controlled sparsity experiment across five simulated tenants (50,000; 5,000; 1,000; 200; 50 rows) drawn from the Brazilian </w:t>
      </w:r>
      <w:proofErr w:type="spellStart"/>
      <w:r>
        <w:t>Olist</w:t>
      </w:r>
      <w:proofErr w:type="spellEnd"/>
      <w:r>
        <w:t xml:space="preserve"> e-commerce corpus, </w:t>
      </w:r>
      <w:proofErr w:type="spellStart"/>
      <w:r>
        <w:t>operationalised</w:t>
      </w:r>
      <w:proofErr w:type="spellEnd"/>
      <w:r>
        <w:t xml:space="preserve"> as a Late Delivery Risk prediction task (1[</w:t>
      </w:r>
      <w:proofErr w:type="spellStart"/>
      <w:r>
        <w:t>delivered_customer_date</w:t>
      </w:r>
      <w:proofErr w:type="spellEnd"/>
      <w:r>
        <w:t xml:space="preserve"> &gt; </w:t>
      </w:r>
      <w:proofErr w:type="spellStart"/>
      <w:r>
        <w:t>estimated_delivery_date</w:t>
      </w:r>
      <w:proofErr w:type="spellEnd"/>
      <w:r>
        <w:t xml:space="preserve">]) that serves as a structural ERP-style operational-risk substrate </w:t>
      </w:r>
      <w:proofErr w:type="spellStart"/>
      <w:r>
        <w:t>generalising</w:t>
      </w:r>
      <w:proofErr w:type="spellEnd"/>
      <w:r>
        <w:t xml:space="preserve"> to the studied system's late-payment module, and trained under a strict leakage-avoidance regime in which only order-time observables are admitted into the feature matrix. Classical predictive metrics fail to track the regime change: AUC-ROC remains uniformly modest across the data-rich, medium, sparse, and very-sparse tiers (0.6556, 0.6249, 0.6094, 0.6126) and </w:t>
      </w:r>
      <w:proofErr w:type="gramStart"/>
      <w:r>
        <w:t>rises</w:t>
      </w:r>
      <w:proofErr w:type="gramEnd"/>
      <w:r>
        <w:t xml:space="preserve"> anomalously to 0.8889 at the cold-start tier as a small-sample artefact. Baseline rank agreement of SHAP explanations against the data-rich reference tenant (a reference-aligned explanation-stability measure, not a ground-truth fidelity claim), quantified by the Spearman rank correlation of global SHAP importances, drops monotonically from ρ = 1.000 to ρ = 0.4485, crossing below the ρ = 0.70 reliability threshold at the 1,000-row mark (</w:t>
      </w:r>
      <w:proofErr w:type="spellStart"/>
      <w:r>
        <w:t>ρ_C</w:t>
      </w:r>
      <w:proofErr w:type="spellEnd"/>
      <w:r>
        <w:t xml:space="preserve"> = 0.6429). Explanation volatility, measured by the variance of absolute SHAP values, expands by more than two orders of magnitude</w:t>
      </w:r>
      <w:r w:rsidR="00E64620">
        <w:t xml:space="preserve"> </w:t>
      </w:r>
      <w:r>
        <w:t xml:space="preserve">from 0.0224 at the data-rich tier to 5.0392 at the cold-start tier. The qualitative cliff is replicated under the same </w:t>
      </w:r>
      <w:r>
        <w:lastRenderedPageBreak/>
        <w:t>pipeline on two further ERP-native tasks (IBM HR Analytics Employee Attrition; synthetic CRM Lead Scoring), supporting the external validity of the architectural finding. Building on these empirical findings, the thesis proposes and implements a Maturity-Aware AI Routing pattern in a Django 4.2 multi-tenant ERP: a tier-logic gate (</w:t>
      </w:r>
      <w:proofErr w:type="spellStart"/>
      <w:r>
        <w:t>LatePaymentPredictor.predict_or_heuristic</w:t>
      </w:r>
      <w:proofErr w:type="spellEnd"/>
      <w:r>
        <w:t>) that suppresses local predictions for tenants below the 1,000-invoice threshold and substitutes platform-wide global heuristics derived from the data-rich reference. The proposed architecture provides a concrete, auditable systems-level control against hallucinated explanations and offers SaaS vendors a scalable cold-start fallback consistent with emerging AI-accountability regulation.</w:t>
      </w:r>
    </w:p>
    <w:p w14:paraId="42E32529" w14:textId="77777777" w:rsidR="00C13615" w:rsidRDefault="00C6617D" w:rsidP="00205173">
      <w:r>
        <w:t xml:space="preserve">Keywords: Explainable AI, SHAP, LIME, multi-tenant SaaS, ERP, cold-start, data sparsity, Django, </w:t>
      </w:r>
      <w:r w:rsidR="00C13615">
        <w:t>reliability cliff.</w:t>
      </w:r>
    </w:p>
    <w:p w14:paraId="42095F27" w14:textId="77777777" w:rsidR="00C13615" w:rsidRDefault="00C13615" w:rsidP="00C13615">
      <w:pPr>
        <w:pStyle w:val="Heading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sectPr w:rsidR="00F5483A" w:rsidSect="00034616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2240" w:h="15840"/>
      <w:pgMar w:top="1699" w:right="1699" w:bottom="1699" w:left="22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4F683" w14:textId="77777777" w:rsidR="008C5EA5" w:rsidRDefault="008C5EA5">
      <w:pPr>
        <w:spacing w:after="0" w:line="240" w:lineRule="auto"/>
      </w:pPr>
      <w:r>
        <w:separator/>
      </w:r>
    </w:p>
  </w:endnote>
  <w:endnote w:type="continuationSeparator" w:id="0">
    <w:p w14:paraId="1B9B3534" w14:textId="77777777" w:rsidR="008C5EA5" w:rsidRDefault="008C5E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B8309" w14:textId="77777777" w:rsidR="00C501EB" w:rsidRDefault="00C501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09BA6" w14:textId="0F25C283" w:rsidR="00C501EB" w:rsidRPr="00C13615" w:rsidRDefault="00C13615" w:rsidP="00C13615">
    <w:pPr>
      <w:pStyle w:val="Footer"/>
      <w:jc w:val="center"/>
      <w:rPr>
        <w:rFonts w:cs="Times New Roman"/>
        <w:color w:val="000000"/>
      </w:rPr>
    </w:pPr>
    <w:r>
      <w:rPr>
        <w:rFonts w:cs="Times New Roman"/>
        <w:color w:val="000000"/>
      </w:rPr>
      <w:fldChar w:fldCharType="begin"/>
    </w:r>
    <w:r>
      <w:rPr>
        <w:rFonts w:cs="Times New Roman"/>
        <w:color w:val="000000"/>
      </w:rPr>
      <w:instrText xml:space="preserve"> PAGE \* roman \* MERGEFORMAT </w:instrText>
    </w:r>
    <w:r>
      <w:rPr>
        <w:rFonts w:cs="Times New Roman"/>
        <w:color w:val="000000"/>
      </w:rPr>
      <w:fldChar w:fldCharType="separate"/>
    </w:r>
    <w:r>
      <w:rPr>
        <w:rFonts w:cs="Times New Roman"/>
        <w:noProof/>
        <w:color w:val="000000"/>
      </w:rPr>
      <w:t>lxviii</w:t>
    </w:r>
    <w:r>
      <w:rPr>
        <w:rFonts w:cs="Times New Roman"/>
        <w:color w:val="00000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4E7EC" w14:textId="77777777" w:rsidR="00C501EB" w:rsidRDefault="00C501EB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BAAE6" w14:textId="77777777" w:rsidR="00935488" w:rsidRDefault="00935488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28467" w14:textId="6C593056" w:rsidR="00935488" w:rsidRPr="00C13615" w:rsidRDefault="00C13615" w:rsidP="00C13615">
    <w:pPr>
      <w:pStyle w:val="Footer"/>
      <w:jc w:val="center"/>
      <w:rPr>
        <w:rFonts w:cs="Times New Roman"/>
        <w:color w:val="000000"/>
      </w:rPr>
    </w:pPr>
    <w:r>
      <w:rPr>
        <w:rFonts w:cs="Times New Roman"/>
        <w:color w:val="000000"/>
      </w:rPr>
      <w:fldChar w:fldCharType="begin"/>
    </w:r>
    <w:r>
      <w:rPr>
        <w:rFonts w:cs="Times New Roman"/>
        <w:color w:val="000000"/>
      </w:rPr>
      <w:instrText xml:space="preserve"> PAGE \* arabic \* MERGEFORMAT </w:instrText>
    </w:r>
    <w:r>
      <w:rPr>
        <w:rFonts w:cs="Times New Roman"/>
        <w:color w:val="000000"/>
      </w:rPr>
      <w:fldChar w:fldCharType="separate"/>
    </w:r>
    <w:r>
      <w:rPr>
        <w:rFonts w:cs="Times New Roman"/>
        <w:noProof/>
        <w:color w:val="000000"/>
      </w:rPr>
      <w:t>68</w:t>
    </w:r>
    <w:r>
      <w:rPr>
        <w:rFonts w:cs="Times New Roman"/>
        <w:color w:val="000000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F28BF" w14:textId="77777777" w:rsidR="00935488" w:rsidRDefault="00935488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BCA82" w14:textId="77777777" w:rsidR="006C27C0" w:rsidRDefault="006C27C0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B36B5" w14:textId="37984D49" w:rsidR="00266909" w:rsidRPr="00C13615" w:rsidRDefault="00C13615" w:rsidP="00C13615">
    <w:pPr>
      <w:pStyle w:val="Footer"/>
      <w:jc w:val="center"/>
      <w:rPr>
        <w:rFonts w:cs="Times New Roman"/>
        <w:color w:val="000000"/>
      </w:rPr>
    </w:pPr>
    <w:r>
      <w:rPr>
        <w:rFonts w:cs="Times New Roman"/>
        <w:color w:val="000000"/>
      </w:rPr>
      <w:fldChar w:fldCharType="begin"/>
    </w:r>
    <w:r>
      <w:rPr>
        <w:rFonts w:cs="Times New Roman"/>
        <w:color w:val="000000"/>
      </w:rPr>
      <w:instrText xml:space="preserve"> PAGE \* arabic \* MERGEFORMAT </w:instrText>
    </w:r>
    <w:r>
      <w:rPr>
        <w:rFonts w:cs="Times New Roman"/>
        <w:color w:val="000000"/>
      </w:rPr>
      <w:fldChar w:fldCharType="separate"/>
    </w:r>
    <w:r>
      <w:rPr>
        <w:rFonts w:cs="Times New Roman"/>
        <w:noProof/>
        <w:color w:val="000000"/>
      </w:rPr>
      <w:t>68</w:t>
    </w:r>
    <w:r>
      <w:rPr>
        <w:rFonts w:cs="Times New Roman"/>
        <w:color w:val="000000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703A6" w14:textId="77777777" w:rsidR="006C27C0" w:rsidRDefault="006C27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09926" w14:textId="77777777" w:rsidR="008C5EA5" w:rsidRDefault="008C5EA5">
      <w:pPr>
        <w:spacing w:after="0" w:line="240" w:lineRule="auto"/>
      </w:pPr>
      <w:r>
        <w:separator/>
      </w:r>
    </w:p>
  </w:footnote>
  <w:footnote w:type="continuationSeparator" w:id="0">
    <w:p w14:paraId="055BC90C" w14:textId="77777777" w:rsidR="008C5EA5" w:rsidRDefault="008C5E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C3803" w14:textId="1CCE44BF" w:rsidR="00C501EB" w:rsidRDefault="005C30E2">
    <w:pPr>
      <w:pStyle w:val="Header"/>
    </w:pPr>
    <w:r>
      <w:rPr>
        <w:noProof/>
      </w:rPr>
      <w:pict w14:anchorId="3030211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6943672" o:spid="_x0000_s1026" type="#_x0000_t75" style="position:absolute;margin-left:0;margin-top:0;width:413.75pt;height:413.75pt;z-index:-251657216;mso-position-horizontal:center;mso-position-horizontal-relative:margin;mso-position-vertical:center;mso-position-vertical-relative:margin" o:allowincell="f">
          <v:imagedata r:id="rId1" o:title="Lambang_Universitas_Negeri_Malang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BD0E9" w14:textId="417230B1" w:rsidR="00C501EB" w:rsidRDefault="005C30E2">
    <w:pPr>
      <w:pStyle w:val="Header"/>
    </w:pPr>
    <w:r>
      <w:rPr>
        <w:noProof/>
      </w:rPr>
      <w:pict w14:anchorId="54C2DF2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6943673" o:spid="_x0000_s1027" type="#_x0000_t75" style="position:absolute;margin-left:0;margin-top:0;width:413.75pt;height:413.75pt;z-index:-251656192;mso-position-horizontal:center;mso-position-horizontal-relative:margin;mso-position-vertical:center;mso-position-vertical-relative:margin" o:allowincell="f">
          <v:imagedata r:id="rId1" o:title="Lambang_Universitas_Negeri_Malang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EB9CB" w14:textId="1C769E2C" w:rsidR="00C501EB" w:rsidRDefault="005C30E2">
    <w:pPr>
      <w:pStyle w:val="Header"/>
    </w:pPr>
    <w:r>
      <w:rPr>
        <w:noProof/>
      </w:rPr>
      <w:pict w14:anchorId="0D9EB68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6943671" o:spid="_x0000_s1025" type="#_x0000_t75" style="position:absolute;margin-left:0;margin-top:0;width:413.75pt;height:413.75pt;z-index:-251658240;mso-position-horizontal:center;mso-position-horizontal-relative:margin;mso-position-vertical:center;mso-position-vertical-relative:margin" o:allowincell="f">
          <v:imagedata r:id="rId1" o:title="Lambang_Universitas_Negeri_Malang" gain="19661f" blacklevel="22938f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EDA9F" w14:textId="01E214DC" w:rsidR="00935488" w:rsidRDefault="005C30E2">
    <w:pPr>
      <w:pStyle w:val="Header"/>
    </w:pPr>
    <w:r>
      <w:rPr>
        <w:noProof/>
      </w:rPr>
      <w:pict w14:anchorId="5946F9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6943675" o:spid="_x0000_s1029" type="#_x0000_t75" style="position:absolute;margin-left:0;margin-top:0;width:413.75pt;height:413.75pt;z-index:-251654144;mso-position-horizontal:center;mso-position-horizontal-relative:margin;mso-position-vertical:center;mso-position-vertical-relative:margin" o:allowincell="f">
          <v:imagedata r:id="rId1" o:title="Lambang_Universitas_Negeri_Malang" gain="19661f" blacklevel="22938f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338B7" w14:textId="12ED5BA0" w:rsidR="00935488" w:rsidRDefault="005C30E2">
    <w:pPr>
      <w:pStyle w:val="Header"/>
    </w:pPr>
    <w:r>
      <w:rPr>
        <w:noProof/>
      </w:rPr>
      <w:pict w14:anchorId="36E0D1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6943676" o:spid="_x0000_s1030" type="#_x0000_t75" style="position:absolute;margin-left:0;margin-top:0;width:413.75pt;height:413.75pt;z-index:-251653120;mso-position-horizontal:center;mso-position-horizontal-relative:margin;mso-position-vertical:center;mso-position-vertical-relative:margin" o:allowincell="f">
          <v:imagedata r:id="rId1" o:title="Lambang_Universitas_Negeri_Malang" gain="19661f" blacklevel="22938f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CAAC0" w14:textId="52F6ACE2" w:rsidR="00935488" w:rsidRDefault="005C30E2">
    <w:pPr>
      <w:pStyle w:val="Header"/>
    </w:pPr>
    <w:r>
      <w:rPr>
        <w:noProof/>
      </w:rPr>
      <w:pict w14:anchorId="5C5347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6943674" o:spid="_x0000_s1028" type="#_x0000_t75" style="position:absolute;margin-left:0;margin-top:0;width:413.75pt;height:413.75pt;z-index:-251655168;mso-position-horizontal:center;mso-position-horizontal-relative:margin;mso-position-vertical:center;mso-position-vertical-relative:margin" o:allowincell="f">
          <v:imagedata r:id="rId1" o:title="Lambang_Universitas_Negeri_Malang" gain="19661f" blacklevel="22938f"/>
        </v:shape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560F3" w14:textId="459B4396" w:rsidR="006C27C0" w:rsidRDefault="005C30E2">
    <w:pPr>
      <w:pStyle w:val="Header"/>
    </w:pPr>
    <w:r>
      <w:rPr>
        <w:noProof/>
      </w:rPr>
      <w:pict w14:anchorId="707CA5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6943678" o:spid="_x0000_s1032" type="#_x0000_t75" style="position:absolute;margin-left:0;margin-top:0;width:413.75pt;height:413.75pt;z-index:-251651072;mso-position-horizontal:center;mso-position-horizontal-relative:margin;mso-position-vertical:center;mso-position-vertical-relative:margin" o:allowincell="f">
          <v:imagedata r:id="rId1" o:title="Lambang_Universitas_Negeri_Malang" gain="19661f" blacklevel="22938f"/>
        </v:shape>
      </w:pic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D70EE" w14:textId="78D71848" w:rsidR="006C27C0" w:rsidRDefault="005C30E2">
    <w:pPr>
      <w:pStyle w:val="Header"/>
    </w:pPr>
    <w:r>
      <w:rPr>
        <w:noProof/>
      </w:rPr>
      <w:pict w14:anchorId="6ECB7E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6943679" o:spid="_x0000_s1033" type="#_x0000_t75" style="position:absolute;margin-left:0;margin-top:0;width:413.75pt;height:413.75pt;z-index:-251650048;mso-position-horizontal:center;mso-position-horizontal-relative:margin;mso-position-vertical:center;mso-position-vertical-relative:margin" o:allowincell="f">
          <v:imagedata r:id="rId1" o:title="Lambang_Universitas_Negeri_Malang" gain="19661f" blacklevel="22938f"/>
        </v:shape>
      </w:pic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11813" w14:textId="69D7ED46" w:rsidR="006C27C0" w:rsidRDefault="005C30E2">
    <w:pPr>
      <w:pStyle w:val="Header"/>
    </w:pPr>
    <w:r>
      <w:rPr>
        <w:noProof/>
      </w:rPr>
      <w:pict w14:anchorId="1BB68F1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6943677" o:spid="_x0000_s1031" type="#_x0000_t75" style="position:absolute;margin-left:0;margin-top:0;width:413.75pt;height:413.75pt;z-index:-251652096;mso-position-horizontal:center;mso-position-horizontal-relative:margin;mso-position-vertical:center;mso-position-vertical-relative:margin" o:allowincell="f">
          <v:imagedata r:id="rId1" o:title="Lambang_Universitas_Negeri_Malang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4186247">
    <w:abstractNumId w:val="8"/>
  </w:num>
  <w:num w:numId="2" w16cid:durableId="1479496085">
    <w:abstractNumId w:val="6"/>
  </w:num>
  <w:num w:numId="3" w16cid:durableId="1006439264">
    <w:abstractNumId w:val="5"/>
  </w:num>
  <w:num w:numId="4" w16cid:durableId="15349644">
    <w:abstractNumId w:val="4"/>
  </w:num>
  <w:num w:numId="5" w16cid:durableId="1517111420">
    <w:abstractNumId w:val="7"/>
  </w:num>
  <w:num w:numId="6" w16cid:durableId="1193692886">
    <w:abstractNumId w:val="3"/>
  </w:num>
  <w:num w:numId="7" w16cid:durableId="336931302">
    <w:abstractNumId w:val="2"/>
  </w:num>
  <w:num w:numId="8" w16cid:durableId="177549239">
    <w:abstractNumId w:val="1"/>
  </w:num>
  <w:num w:numId="9" w16cid:durableId="1772553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EA2"/>
    <w:rsid w:val="00034616"/>
    <w:rsid w:val="0006063C"/>
    <w:rsid w:val="00077A63"/>
    <w:rsid w:val="000E5806"/>
    <w:rsid w:val="0015074B"/>
    <w:rsid w:val="00151013"/>
    <w:rsid w:val="00205173"/>
    <w:rsid w:val="00266909"/>
    <w:rsid w:val="0029639D"/>
    <w:rsid w:val="00326F90"/>
    <w:rsid w:val="00436E41"/>
    <w:rsid w:val="004477FD"/>
    <w:rsid w:val="00471312"/>
    <w:rsid w:val="004B555C"/>
    <w:rsid w:val="004B6798"/>
    <w:rsid w:val="004E06FC"/>
    <w:rsid w:val="005630B1"/>
    <w:rsid w:val="005C30E2"/>
    <w:rsid w:val="005D581C"/>
    <w:rsid w:val="00653346"/>
    <w:rsid w:val="006C27C0"/>
    <w:rsid w:val="006F1DEE"/>
    <w:rsid w:val="007D6185"/>
    <w:rsid w:val="008C5EA5"/>
    <w:rsid w:val="008E18C2"/>
    <w:rsid w:val="00927C5D"/>
    <w:rsid w:val="00935488"/>
    <w:rsid w:val="00945597"/>
    <w:rsid w:val="009B79AA"/>
    <w:rsid w:val="009D151B"/>
    <w:rsid w:val="009D7DB5"/>
    <w:rsid w:val="00AA1D8D"/>
    <w:rsid w:val="00AF5233"/>
    <w:rsid w:val="00B06A29"/>
    <w:rsid w:val="00B47730"/>
    <w:rsid w:val="00BB3434"/>
    <w:rsid w:val="00BD6586"/>
    <w:rsid w:val="00BE4844"/>
    <w:rsid w:val="00C0280F"/>
    <w:rsid w:val="00C13615"/>
    <w:rsid w:val="00C501EB"/>
    <w:rsid w:val="00C6617D"/>
    <w:rsid w:val="00C817E0"/>
    <w:rsid w:val="00CB0664"/>
    <w:rsid w:val="00D710DB"/>
    <w:rsid w:val="00DB3A76"/>
    <w:rsid w:val="00DD0721"/>
    <w:rsid w:val="00DF7A0D"/>
    <w:rsid w:val="00E011C8"/>
    <w:rsid w:val="00E2083D"/>
    <w:rsid w:val="00E20B71"/>
    <w:rsid w:val="00E336C6"/>
    <w:rsid w:val="00E375C8"/>
    <w:rsid w:val="00E64620"/>
    <w:rsid w:val="00E80065"/>
    <w:rsid w:val="00F548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BF2F315"/>
  <w14:defaultImageDpi w14:val="330"/>
  <w15:docId w15:val="{FF61026A-049E-4E14-8BDC-E3C5EE4A3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6C27C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C27C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6C27C0"/>
    <w:pPr>
      <w:spacing w:after="100"/>
      <w:ind w:left="480"/>
    </w:pPr>
  </w:style>
  <w:style w:type="table" w:styleId="GridTable4-Accent1">
    <w:name w:val="Grid Table 4 Accent 1"/>
    <w:basedOn w:val="TableNormal"/>
    <w:uiPriority w:val="49"/>
    <w:rsid w:val="00E20B71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F5483A"/>
    <w:rPr>
      <w:color w:val="666666"/>
    </w:rPr>
  </w:style>
  <w:style w:type="paragraph" w:styleId="TableofFigures">
    <w:name w:val="table of figures"/>
    <w:basedOn w:val="Normal"/>
    <w:next w:val="Normal"/>
    <w:uiPriority w:val="99"/>
    <w:unhideWhenUsed/>
    <w:rsid w:val="00C501EB"/>
    <w:pPr>
      <w:spacing w:after="0"/>
    </w:pPr>
  </w:style>
  <w:style w:type="character" w:styleId="Hyperlink">
    <w:name w:val="Hyperlink"/>
    <w:basedOn w:val="DefaultParagraphFont"/>
    <w:uiPriority w:val="99"/>
    <w:unhideWhenUsed/>
    <w:rsid w:val="00C501EB"/>
    <w:rPr>
      <w:color w:val="0000FF" w:themeColor="hyperlink"/>
      <w:u w:val="single"/>
    </w:rPr>
  </w:style>
  <w:style w:type="table" w:styleId="PlainTable2">
    <w:name w:val="Plain Table 2"/>
    <w:basedOn w:val="TableNormal"/>
    <w:uiPriority w:val="99"/>
    <w:rsid w:val="00000EA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99"/>
    <w:rsid w:val="00000EA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6.png"/><Relationship Id="rId26" Type="http://schemas.openxmlformats.org/officeDocument/2006/relationships/footer" Target="footer4.xml"/><Relationship Id="rId21" Type="http://schemas.openxmlformats.org/officeDocument/2006/relationships/image" Target="media/image9.png"/><Relationship Id="rId34" Type="http://schemas.openxmlformats.org/officeDocument/2006/relationships/header" Target="header9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5.png"/><Relationship Id="rId25" Type="http://schemas.openxmlformats.org/officeDocument/2006/relationships/header" Target="header5.xml"/><Relationship Id="rId33" Type="http://schemas.openxmlformats.org/officeDocument/2006/relationships/footer" Target="footer8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header" Target="header4.xml"/><Relationship Id="rId32" Type="http://schemas.openxmlformats.org/officeDocument/2006/relationships/footer" Target="footer7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header" Target="header6.xml"/><Relationship Id="rId36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media/image7.png"/><Relationship Id="rId31" Type="http://schemas.openxmlformats.org/officeDocument/2006/relationships/header" Target="header8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10.png"/><Relationship Id="rId27" Type="http://schemas.openxmlformats.org/officeDocument/2006/relationships/footer" Target="footer5.xml"/><Relationship Id="rId30" Type="http://schemas.openxmlformats.org/officeDocument/2006/relationships/header" Target="header7.xml"/><Relationship Id="rId35" Type="http://schemas.openxmlformats.org/officeDocument/2006/relationships/footer" Target="footer9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8DD61A7-F4AD-49FB-B0EE-226721386B1F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fbdd8e02-ed1b-4906-af06-2b19ff0e9027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80</Pages>
  <Words>18086</Words>
  <Characters>109062</Characters>
  <Application>Microsoft Office Word</Application>
  <DocSecurity>0</DocSecurity>
  <Lines>2225</Lines>
  <Paragraphs>825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kuraimi</cp:lastModifiedBy>
  <cp:revision>4</cp:revision>
  <cp:lastPrinted>2026-05-30T18:35:00Z</cp:lastPrinted>
  <dcterms:created xsi:type="dcterms:W3CDTF">2026-06-01T20:13:00Z</dcterms:created>
  <dcterms:modified xsi:type="dcterms:W3CDTF">2026-06-12T04:00:00Z</dcterms:modified>
  <cp:category/>
</cp:coreProperties>
</file>