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83A8" w14:textId="77777777" w:rsidR="00935488" w:rsidRPr="00935488" w:rsidRDefault="00935488" w:rsidP="00935488">
      <w:pPr>
        <w:pStyle w:val="Heading1"/>
        <w:jc w:val="center"/>
        <w:rPr>
          <w:rFonts w:ascii="Times New Roman" w:hAnsi="Times New Roman" w:cs="Times New Roman"/>
          <w:color w:val="000000"/>
        </w:rPr>
      </w:pPr>
      <w:bookmarkStart w:id="0" w:name="_Toc231264567"/>
      <w:r w:rsidRPr="00935488">
        <w:rPr>
          <w:rFonts w:ascii="Times New Roman" w:hAnsi="Times New Roman" w:cs="Times New Roman"/>
          <w:color w:val="000000"/>
        </w:rPr>
        <w:t>CHAPTER III</w:t>
      </w:r>
      <w:bookmarkEnd w:id="0"/>
    </w:p>
    <w:p w14:paraId="7E8BE54D" w14:textId="45F04E65" w:rsidR="00266909" w:rsidRPr="00935488" w:rsidRDefault="00C6617D" w:rsidP="00935488">
      <w:pPr>
        <w:pStyle w:val="Heading1"/>
        <w:jc w:val="center"/>
        <w:rPr>
          <w:rFonts w:ascii="Times New Roman" w:hAnsi="Times New Roman" w:cs="Times New Roman"/>
          <w:color w:val="000000"/>
        </w:rPr>
      </w:pPr>
      <w:bookmarkStart w:id="1" w:name="_Toc231264568"/>
      <w:r>
        <w:rPr>
          <w:rFonts w:ascii="Times New Roman" w:hAnsi="Times New Roman" w:cs="Times New Roman"/>
          <w:color w:val="000000"/>
        </w:rPr>
        <w:t>RESEARCH METHOD</w:t>
      </w:r>
      <w:bookmarkEnd w:id="1"/>
    </w:p>
    <w:p w14:paraId="02AB4F5A" w14:textId="7A1D811D" w:rsidR="00266909" w:rsidRDefault="00927C5D" w:rsidP="004B6798">
      <w:pPr>
        <w:spacing w:after="120" w:line="360" w:lineRule="auto"/>
        <w:ind w:firstLine="403"/>
        <w:jc w:val="both"/>
      </w:pPr>
      <w:r>
        <w:t xml:space="preserve">This chapter describes the methodology by which the research questions formulated in </w:t>
      </w:r>
      <w:r w:rsidR="00E20B71">
        <w:t>Chapter I</w:t>
      </w:r>
      <w:r>
        <w:t xml:space="preserve"> were </w:t>
      </w:r>
      <w:proofErr w:type="spellStart"/>
      <w:r>
        <w:t>operationalised</w:t>
      </w:r>
      <w:proofErr w:type="spellEnd"/>
      <w:r>
        <w:t xml:space="preserve"> into a reproducible empirical study. The chapter follows the canonical CRISP-DM-aligned sequence of problem scoping, data gathering,</w:t>
      </w:r>
      <w:r w:rsidR="004B6798">
        <w:t xml:space="preserve"> </w:t>
      </w:r>
      <w:r>
        <w:t>data preparation, modelling, evaluation, and</w:t>
      </w:r>
      <w:r w:rsidR="004B6798">
        <w:t xml:space="preserve"> </w:t>
      </w:r>
      <w:r>
        <w:t>deployment, adapted to the specific concerns of measuring explanation fidelity rather than predictive accuracy alone.</w:t>
      </w:r>
    </w:p>
    <w:p w14:paraId="010FDB62" w14:textId="2F7FD236" w:rsidR="00266909" w:rsidRPr="00935488" w:rsidRDefault="00935488" w:rsidP="00935488">
      <w:pPr>
        <w:pStyle w:val="Heading2"/>
        <w:spacing w:after="120"/>
        <w:rPr>
          <w:rFonts w:ascii="Times New Roman" w:hAnsi="Times New Roman" w:cs="Times New Roman"/>
          <w:color w:val="000000"/>
          <w:sz w:val="24"/>
        </w:rPr>
      </w:pPr>
      <w:bookmarkStart w:id="2" w:name="_Toc231264569"/>
      <w:r w:rsidRPr="00935488">
        <w:rPr>
          <w:rFonts w:ascii="Times New Roman" w:hAnsi="Times New Roman" w:cs="Times New Roman"/>
          <w:color w:val="000000"/>
          <w:sz w:val="24"/>
        </w:rPr>
        <w:t>3.1 Problem Scoping</w:t>
      </w:r>
      <w:bookmarkEnd w:id="2"/>
    </w:p>
    <w:p w14:paraId="585FEE1B" w14:textId="56199DED" w:rsidR="00266909" w:rsidRPr="00935488" w:rsidRDefault="00935488" w:rsidP="00935488">
      <w:pPr>
        <w:pStyle w:val="Heading3"/>
        <w:spacing w:after="120"/>
        <w:rPr>
          <w:rFonts w:ascii="Times New Roman" w:hAnsi="Times New Roman" w:cs="Times New Roman"/>
          <w:color w:val="000000"/>
        </w:rPr>
      </w:pPr>
      <w:bookmarkStart w:id="3" w:name="_Toc231264570"/>
      <w:r w:rsidRPr="00935488">
        <w:rPr>
          <w:rFonts w:ascii="Times New Roman" w:hAnsi="Times New Roman" w:cs="Times New Roman"/>
          <w:color w:val="000000"/>
        </w:rPr>
        <w:t>3.1.1 Research Objectives</w:t>
      </w:r>
      <w:bookmarkEnd w:id="3"/>
    </w:p>
    <w:p w14:paraId="733E78C9" w14:textId="19E3E560" w:rsidR="00266909" w:rsidRDefault="00927C5D">
      <w:pPr>
        <w:spacing w:after="120" w:line="360" w:lineRule="auto"/>
        <w:ind w:firstLine="403"/>
        <w:jc w:val="both"/>
      </w:pPr>
      <w:r>
        <w:t xml:space="preserve">In direct continuation of </w:t>
      </w:r>
      <w:r w:rsidR="00E20B71">
        <w:t>Chapter I</w:t>
      </w:r>
      <w:r>
        <w:t>, this research pursues four objectives, which together translate the abstract research questions (</w:t>
      </w:r>
      <w:proofErr w:type="gramStart"/>
      <w:r>
        <w:t>RQ1--RQ3</w:t>
      </w:r>
      <w:proofErr w:type="gramEnd"/>
      <w:r>
        <w:t>) into actionable engineering targets:</w:t>
      </w:r>
    </w:p>
    <w:p w14:paraId="02B03AE0" w14:textId="442B99DA" w:rsidR="00266909" w:rsidRDefault="00927C5D" w:rsidP="00205173">
      <w:pPr>
        <w:pStyle w:val="ListBullet"/>
        <w:spacing w:after="120"/>
        <w:jc w:val="both"/>
      </w:pPr>
      <w:r>
        <w:t>Quantify XAI degradation under data sparsity. Establish,</w:t>
      </w:r>
      <w:r w:rsidR="004B6798">
        <w:t xml:space="preserve"> </w:t>
      </w:r>
      <w:r>
        <w:t>through controlled cross-sectional experimentation, the empirical relationship between tenant-level training-data volume and the fidelity and stability of post-hoc SHAP and LIME explanations.</w:t>
      </w:r>
    </w:p>
    <w:p w14:paraId="559FE23D" w14:textId="43183C44" w:rsidR="00266909" w:rsidRDefault="00927C5D" w:rsidP="00205173">
      <w:pPr>
        <w:pStyle w:val="ListBullet"/>
        <w:spacing w:after="120"/>
        <w:jc w:val="both"/>
      </w:pPr>
      <w:r>
        <w:t>Identify the cold-start XAI threshold. Determine the</w:t>
      </w:r>
      <w:r w:rsidR="004B6798">
        <w:t xml:space="preserve"> </w:t>
      </w:r>
      <w:r>
        <w:t xml:space="preserve">data-volume boundary at which local post-hoc explanations cease to be operationally reliable, </w:t>
      </w:r>
      <w:proofErr w:type="spellStart"/>
      <w:r>
        <w:t>characterising</w:t>
      </w:r>
      <w:proofErr w:type="spellEnd"/>
      <w:r>
        <w:t xml:space="preserve"> the non-linear Reliability Cliff </w:t>
      </w:r>
      <w:proofErr w:type="spellStart"/>
      <w:r>
        <w:t>hypothesised</w:t>
      </w:r>
      <w:proofErr w:type="spellEnd"/>
      <w:r>
        <w:t xml:space="preserve"> in </w:t>
      </w:r>
      <w:r w:rsidR="00E20B71">
        <w:t>Chapter II</w:t>
      </w:r>
      <w:r>
        <w:t>.</w:t>
      </w:r>
    </w:p>
    <w:p w14:paraId="1C36DA9A" w14:textId="4A0A2269" w:rsidR="00266909" w:rsidRDefault="00927C5D" w:rsidP="00205173">
      <w:pPr>
        <w:pStyle w:val="ListBullet"/>
        <w:spacing w:after="120"/>
        <w:jc w:val="both"/>
      </w:pPr>
      <w:r>
        <w:t>Design the Maturity-Aware AI Routing architecture. Specify</w:t>
      </w:r>
      <w:r w:rsidR="004B6798">
        <w:t xml:space="preserve"> </w:t>
      </w:r>
      <w:r>
        <w:t>a tenant</w:t>
      </w:r>
      <w:r w:rsidR="004B6798">
        <w:t xml:space="preserve"> </w:t>
      </w:r>
      <w:r>
        <w:t>aware tier</w:t>
      </w:r>
      <w:r w:rsidR="004B6798">
        <w:t xml:space="preserve"> </w:t>
      </w:r>
      <w:r>
        <w:t>logic gate that conditions the choice of explanation strategy on each tenant's data maturity.</w:t>
      </w:r>
    </w:p>
    <w:p w14:paraId="12087D27" w14:textId="003FF5AA" w:rsidR="00266909" w:rsidRDefault="00927C5D" w:rsidP="00205173">
      <w:pPr>
        <w:pStyle w:val="ListBullet"/>
        <w:spacing w:after="120"/>
        <w:jc w:val="both"/>
      </w:pPr>
      <w:r>
        <w:t xml:space="preserve">Implement and evaluate the tier-logic gate. </w:t>
      </w:r>
      <w:proofErr w:type="spellStart"/>
      <w:r>
        <w:t>Realise</w:t>
      </w:r>
      <w:proofErr w:type="spellEnd"/>
      <w:r>
        <w:t xml:space="preserve"> the</w:t>
      </w:r>
      <w:r w:rsidR="00DD0721">
        <w:t xml:space="preserve"> </w:t>
      </w:r>
      <w:r>
        <w:t xml:space="preserve">proposed pattern as a concrete software component inside the studied Django / </w:t>
      </w:r>
      <w:proofErr w:type="gramStart"/>
      <w:r>
        <w:t>PostgreSQL ERP, and</w:t>
      </w:r>
      <w:proofErr w:type="gramEnd"/>
      <w:r>
        <w:t xml:space="preserve"> verify that it routes correctly and preserves backward compatibility.</w:t>
      </w:r>
    </w:p>
    <w:p w14:paraId="6AB5F4F1" w14:textId="2AEE6B73" w:rsidR="00266909" w:rsidRPr="00935488" w:rsidRDefault="00935488" w:rsidP="00935488">
      <w:pPr>
        <w:pStyle w:val="Heading3"/>
        <w:spacing w:after="120"/>
        <w:rPr>
          <w:rFonts w:ascii="Times New Roman" w:hAnsi="Times New Roman" w:cs="Times New Roman"/>
          <w:color w:val="000000"/>
        </w:rPr>
      </w:pPr>
      <w:bookmarkStart w:id="4" w:name="_Toc231264571"/>
      <w:r w:rsidRPr="00935488">
        <w:rPr>
          <w:rFonts w:ascii="Times New Roman" w:hAnsi="Times New Roman" w:cs="Times New Roman"/>
          <w:color w:val="000000"/>
        </w:rPr>
        <w:t>3.1.2 Research Scope</w:t>
      </w:r>
      <w:bookmarkEnd w:id="4"/>
    </w:p>
    <w:p w14:paraId="6182AF18" w14:textId="77777777" w:rsidR="00266909" w:rsidRDefault="00927C5D">
      <w:pPr>
        <w:spacing w:after="120" w:line="360" w:lineRule="auto"/>
        <w:ind w:firstLine="403"/>
        <w:jc w:val="both"/>
      </w:pPr>
      <w:r>
        <w:t xml:space="preserve">The methodological scope of this study was constrained as follows </w:t>
      </w:r>
      <w:proofErr w:type="gramStart"/>
      <w:r>
        <w:t>in order to</w:t>
      </w:r>
      <w:proofErr w:type="gramEnd"/>
      <w:r>
        <w:t xml:space="preserve"> preserve interpretability and reproducibility:</w:t>
      </w:r>
    </w:p>
    <w:p w14:paraId="000C2BA3" w14:textId="463FA957" w:rsidR="00266909" w:rsidRDefault="00927C5D" w:rsidP="00205173">
      <w:pPr>
        <w:pStyle w:val="ListBullet"/>
        <w:spacing w:after="120"/>
        <w:jc w:val="both"/>
      </w:pPr>
      <w:r>
        <w:lastRenderedPageBreak/>
        <w:t>Platform. A single multi-tenant ERP system based on</w:t>
      </w:r>
      <w:r w:rsidR="00205173">
        <w:t xml:space="preserve"> </w:t>
      </w:r>
      <w:r>
        <w:t>Django 4.2 and PostgreSQL, configured under the database-per-tenant isolation model.</w:t>
      </w:r>
    </w:p>
    <w:p w14:paraId="1637A963" w14:textId="5E209D06" w:rsidR="00266909" w:rsidRDefault="00927C5D" w:rsidP="00205173">
      <w:pPr>
        <w:pStyle w:val="ListBullet"/>
        <w:spacing w:after="120"/>
        <w:jc w:val="both"/>
      </w:pPr>
      <w:r>
        <w:t>Prediction tasks. Three ERP-native supervised tabular</w:t>
      </w:r>
      <w:r w:rsidR="00205173">
        <w:t xml:space="preserve"> </w:t>
      </w:r>
      <w:r>
        <w:t>classification problems: Late Delivery Risk prediction, Lead Scoring, and Employee Attrition.</w:t>
      </w:r>
    </w:p>
    <w:p w14:paraId="3D518B45" w14:textId="767A240A" w:rsidR="00266909" w:rsidRDefault="00927C5D" w:rsidP="00205173">
      <w:pPr>
        <w:pStyle w:val="ListBullet"/>
        <w:spacing w:after="120"/>
        <w:jc w:val="both"/>
      </w:pPr>
      <w:r>
        <w:t>XAI techniques. Two post-hoc, model-agnostic explainers</w:t>
      </w:r>
      <w:r w:rsidR="00205173">
        <w:t xml:space="preserve"> </w:t>
      </w:r>
      <w:r>
        <w:t xml:space="preserve">were evaluated: SHAP (specifically the </w:t>
      </w:r>
      <w:proofErr w:type="spellStart"/>
      <w:r>
        <w:t>TreeExplainer</w:t>
      </w:r>
      <w:proofErr w:type="spellEnd"/>
      <w:r>
        <w:t xml:space="preserve"> and</w:t>
      </w:r>
      <w:r w:rsidR="00205173">
        <w:t xml:space="preserve"> </w:t>
      </w:r>
      <w:proofErr w:type="spellStart"/>
      <w:r>
        <w:t>LinearExplainer</w:t>
      </w:r>
      <w:proofErr w:type="spellEnd"/>
      <w:r>
        <w:t xml:space="preserve"> variants) and LIME (in its tabular form). Intrinsically interpretable models and gradient-based explainers for</w:t>
      </w:r>
      <w:r w:rsidR="00205173">
        <w:t xml:space="preserve"> </w:t>
      </w:r>
      <w:r>
        <w:t>deep networks were not within scope.</w:t>
      </w:r>
    </w:p>
    <w:p w14:paraId="6DDD716E" w14:textId="3C18339F" w:rsidR="00266909" w:rsidRDefault="00927C5D" w:rsidP="00205173">
      <w:pPr>
        <w:pStyle w:val="ListBullet"/>
        <w:spacing w:after="120"/>
        <w:jc w:val="both"/>
      </w:pPr>
      <w:r>
        <w:t>Evaluation mode. Offline, cross-sectional simulation</w:t>
      </w:r>
      <w:r w:rsidR="00205173">
        <w:t xml:space="preserve"> </w:t>
      </w:r>
      <w:r>
        <w:t>against curated open-source datasets. No live SaaS tenant traffic was used, and no longitudinal observation of</w:t>
      </w:r>
      <w:r w:rsidR="00205173">
        <w:t xml:space="preserve"> </w:t>
      </w:r>
      <w:r>
        <w:t>data accumulation over real calendar time was performed.</w:t>
      </w:r>
    </w:p>
    <w:p w14:paraId="6142BB9C" w14:textId="5B359370" w:rsidR="00266909" w:rsidRDefault="00927C5D" w:rsidP="00205173">
      <w:pPr>
        <w:pStyle w:val="ListBullet"/>
        <w:spacing w:after="120"/>
        <w:jc w:val="both"/>
      </w:pPr>
      <w:r>
        <w:t>Architectural pattern. Only the Maturity-Aware AI Routing</w:t>
      </w:r>
      <w:r w:rsidR="00205173">
        <w:t xml:space="preserve"> </w:t>
      </w:r>
      <w:r>
        <w:t>pattern was</w:t>
      </w:r>
      <w:r w:rsidR="00205173">
        <w:t xml:space="preserve"> </w:t>
      </w:r>
      <w:r>
        <w:t>implemented and evaluated; alternative remedies for sparsity (transfer learning,</w:t>
      </w:r>
      <w:r w:rsidR="00205173">
        <w:t xml:space="preserve"> </w:t>
      </w:r>
      <w:r>
        <w:t>federated learning, meta-learning) were noted but deferred to future work.</w:t>
      </w:r>
    </w:p>
    <w:p w14:paraId="58243A5E" w14:textId="1CBDF4E1" w:rsidR="00266909" w:rsidRPr="00935488" w:rsidRDefault="00935488" w:rsidP="00935488">
      <w:pPr>
        <w:pStyle w:val="Heading3"/>
        <w:spacing w:after="120"/>
        <w:rPr>
          <w:rFonts w:ascii="Times New Roman" w:hAnsi="Times New Roman" w:cs="Times New Roman"/>
          <w:color w:val="000000"/>
        </w:rPr>
      </w:pPr>
      <w:bookmarkStart w:id="5" w:name="_Toc231264572"/>
      <w:r w:rsidRPr="00935488">
        <w:rPr>
          <w:rFonts w:ascii="Times New Roman" w:hAnsi="Times New Roman" w:cs="Times New Roman"/>
          <w:color w:val="000000"/>
        </w:rPr>
        <w:t>3.1.3 Research Contribution</w:t>
      </w:r>
      <w:bookmarkEnd w:id="5"/>
    </w:p>
    <w:p w14:paraId="00E01B2B" w14:textId="77777777" w:rsidR="00266909" w:rsidRDefault="00927C5D">
      <w:pPr>
        <w:spacing w:after="120" w:line="360" w:lineRule="auto"/>
        <w:ind w:firstLine="403"/>
        <w:jc w:val="both"/>
      </w:pPr>
      <w:r>
        <w:t>Two distinct but interdependent contributions emerge from this methodology:</w:t>
      </w:r>
    </w:p>
    <w:p w14:paraId="105BE0C9" w14:textId="6E4DEE11" w:rsidR="00266909" w:rsidRDefault="00927C5D" w:rsidP="00205173">
      <w:pPr>
        <w:pStyle w:val="ListBullet"/>
        <w:spacing w:after="120" w:line="360" w:lineRule="auto"/>
        <w:jc w:val="both"/>
      </w:pPr>
      <w:r>
        <w:t>An empirical contribution. The study quantifies, for the</w:t>
      </w:r>
      <w:r w:rsidR="00DD0721">
        <w:t xml:space="preserve"> </w:t>
      </w:r>
      <w:r>
        <w:t xml:space="preserve">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w:t>
      </w:r>
      <w:proofErr w:type="spellStart"/>
      <w:r>
        <w:t>localise</w:t>
      </w:r>
      <w:proofErr w:type="spellEnd"/>
      <w:r>
        <w:t xml:space="preserve"> the Reliability Cliff and produce a defensible numerical threshold for the cold-start regime.</w:t>
      </w:r>
    </w:p>
    <w:p w14:paraId="22F6A162" w14:textId="5F44C7EA" w:rsidR="00266909" w:rsidRDefault="00927C5D" w:rsidP="00205173">
      <w:pPr>
        <w:pStyle w:val="ListBullet"/>
        <w:spacing w:after="120" w:line="360" w:lineRule="auto"/>
        <w:jc w:val="both"/>
      </w:pPr>
      <w:r>
        <w:t>An architectural contribution. The study delivers the</w:t>
      </w:r>
      <w:r w:rsidR="00205173">
        <w:t xml:space="preserve"> </w:t>
      </w:r>
      <w:r>
        <w:t xml:space="preserve">Maturity-Aware AI Routing pattern as a concrete, implementable software-engineering artefact, instantiated inside a real Django ERP codebase. The contribution is not merely conceptual: it includes the routing rule, its </w:t>
      </w:r>
      <w:proofErr w:type="gramStart"/>
      <w:r>
        <w:t>empirically-derived</w:t>
      </w:r>
      <w:proofErr w:type="gramEnd"/>
      <w:r>
        <w:t xml:space="preserve"> threshold, the global-heuristic fallback artefact, and the integration discipline by which the gate is added without disturbing the existing ML </w:t>
      </w:r>
      <w:proofErr w:type="gramStart"/>
      <w:r>
        <w:t>production code</w:t>
      </w:r>
      <w:proofErr w:type="gramEnd"/>
      <w:r>
        <w:t xml:space="preserve"> path.</w:t>
      </w:r>
    </w:p>
    <w:p w14:paraId="6A99E702" w14:textId="4CE5B23C" w:rsidR="00266909" w:rsidRPr="00935488" w:rsidRDefault="00935488" w:rsidP="00935488">
      <w:pPr>
        <w:pStyle w:val="Heading2"/>
        <w:spacing w:after="120"/>
        <w:rPr>
          <w:rFonts w:ascii="Times New Roman" w:hAnsi="Times New Roman" w:cs="Times New Roman"/>
          <w:color w:val="000000"/>
          <w:sz w:val="24"/>
        </w:rPr>
      </w:pPr>
      <w:bookmarkStart w:id="6" w:name="_Toc231264573"/>
      <w:r w:rsidRPr="00935488">
        <w:rPr>
          <w:rFonts w:ascii="Times New Roman" w:hAnsi="Times New Roman" w:cs="Times New Roman"/>
          <w:color w:val="000000"/>
          <w:sz w:val="24"/>
        </w:rPr>
        <w:lastRenderedPageBreak/>
        <w:t>3.2 Data Gathering</w:t>
      </w:r>
      <w:bookmarkEnd w:id="6"/>
    </w:p>
    <w:p w14:paraId="2D4014FA" w14:textId="2A01F6C4" w:rsidR="00266909" w:rsidRPr="00935488" w:rsidRDefault="00935488" w:rsidP="00935488">
      <w:pPr>
        <w:pStyle w:val="Heading3"/>
        <w:spacing w:after="120"/>
        <w:rPr>
          <w:rFonts w:ascii="Times New Roman" w:hAnsi="Times New Roman" w:cs="Times New Roman"/>
          <w:color w:val="000000"/>
        </w:rPr>
      </w:pPr>
      <w:bookmarkStart w:id="7" w:name="_Toc231264574"/>
      <w:r w:rsidRPr="00935488">
        <w:rPr>
          <w:rFonts w:ascii="Times New Roman" w:hAnsi="Times New Roman" w:cs="Times New Roman"/>
          <w:color w:val="000000"/>
        </w:rPr>
        <w:t>3.2.1 Open-Source ERP Datasets</w:t>
      </w:r>
      <w:bookmarkEnd w:id="7"/>
    </w:p>
    <w:p w14:paraId="0E718381" w14:textId="77777777" w:rsidR="00266909" w:rsidRDefault="00927C5D">
      <w:pPr>
        <w:spacing w:after="120" w:line="360" w:lineRule="auto"/>
        <w:ind w:firstLine="403"/>
        <w:jc w:val="both"/>
      </w:pPr>
      <w:r>
        <w:t xml:space="preserve">In the absence of an ethically- and </w:t>
      </w:r>
      <w:proofErr w:type="gramStart"/>
      <w:r>
        <w:t>legally-shareable</w:t>
      </w:r>
      <w:proofErr w:type="gramEnd"/>
      <w:r>
        <w:t xml:space="preserv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14:paraId="33CEA6AF" w14:textId="77777777" w:rsidR="00266909" w:rsidRDefault="00927C5D">
      <w:pPr>
        <w:spacing w:after="120" w:line="360" w:lineRule="auto"/>
        <w:ind w:firstLine="403"/>
        <w:jc w:val="both"/>
      </w:pPr>
      <w:proofErr w:type="spellStart"/>
      <w:r>
        <w:rPr>
          <w:b/>
        </w:rPr>
        <w:t>Olist</w:t>
      </w:r>
      <w:proofErr w:type="spellEnd"/>
      <w:r>
        <w:rPr>
          <w:b/>
        </w:rPr>
        <w:t xml:space="preserve"> Brazilian E-Commerce Public Dataset.</w:t>
      </w:r>
    </w:p>
    <w:p w14:paraId="19DD519B" w14:textId="781385F0" w:rsidR="00266909" w:rsidRDefault="00927C5D" w:rsidP="00205173">
      <w:pPr>
        <w:spacing w:after="120" w:line="360" w:lineRule="auto"/>
        <w:ind w:firstLine="403"/>
        <w:jc w:val="both"/>
      </w:pPr>
      <w:r>
        <w:t xml:space="preserve">This corpus, released by the Brazilian marketplace platform </w:t>
      </w:r>
      <w:proofErr w:type="spellStart"/>
      <w:r>
        <w:t>Olist</w:t>
      </w:r>
      <w:proofErr w:type="spellEnd"/>
      <w:r>
        <w:t xml:space="preserve"> and hosted on Kaggle, comprises approximately 100,000 orders placed between 2016 and 2018, distributed across nine relational tables covering customers, sellers, orders, order items, payments, reviews, and products. After joining the order, payment, and item tables on the canonical </w:t>
      </w:r>
      <w:proofErr w:type="spellStart"/>
      <w:r>
        <w:t>order_id</w:t>
      </w:r>
      <w:proofErr w:type="spellEnd"/>
      <w:r>
        <w:t xml:space="preserve"> key, the resulting unified table contained N = 96,460 rows. This corpus was used as the empirical substrate for the Late Delivery Risk prediction task, </w:t>
      </w:r>
      <w:proofErr w:type="spellStart"/>
      <w:r>
        <w:t>operationalised</w:t>
      </w:r>
      <w:proofErr w:type="spellEnd"/>
      <w:r>
        <w:t xml:space="preserve"> as the binary event "actual delivery date later than the estimated delivery</w:t>
      </w:r>
      <w:r w:rsidR="004B6798">
        <w:t xml:space="preserve"> </w:t>
      </w:r>
      <w:r>
        <w:t>date</w:t>
      </w:r>
      <w:proofErr w:type="gramStart"/>
      <w:r>
        <w:t xml:space="preserve">" </w:t>
      </w:r>
      <w:r w:rsidR="004B6798">
        <w:t>.</w:t>
      </w:r>
      <w:proofErr w:type="gramEnd"/>
      <w:r w:rsidR="00205173">
        <w:t xml:space="preserve"> </w:t>
      </w:r>
      <w:r>
        <w:t xml:space="preserve">(formally, </w:t>
      </w:r>
      <w:r w:rsidR="006F1DEE" w:rsidRPr="006F1DEE">
        <w:rPr>
          <w:rFonts w:cs="Times New Roman"/>
        </w:rPr>
        <w:t>1[</w:t>
      </w:r>
      <w:proofErr w:type="spellStart"/>
      <w:r w:rsidR="006F1DEE" w:rsidRPr="006F1DEE">
        <w:rPr>
          <w:rFonts w:cs="Times New Roman"/>
        </w:rPr>
        <w:t>order_delivered_customer_date</w:t>
      </w:r>
      <w:proofErr w:type="spellEnd"/>
      <w:r w:rsidR="006F1DEE" w:rsidRPr="006F1DEE">
        <w:rPr>
          <w:rFonts w:cs="Times New Roman"/>
        </w:rPr>
        <w:t xml:space="preserve"> &gt;</w:t>
      </w:r>
      <w:r w:rsidR="00205173">
        <w:rPr>
          <w:rFonts w:cs="Times New Roman"/>
        </w:rPr>
        <w:t xml:space="preserve"> </w:t>
      </w:r>
      <w:proofErr w:type="spellStart"/>
      <w:r w:rsidR="006F1DEE" w:rsidRPr="006F1DEE">
        <w:rPr>
          <w:rFonts w:cs="Times New Roman"/>
        </w:rPr>
        <w:t>order_estimated_delivery_date</w:t>
      </w:r>
      <w:proofErr w:type="spellEnd"/>
      <w:r w:rsidR="006F1DEE" w:rsidRPr="006F1DEE">
        <w:rPr>
          <w:rFonts w:cs="Times New Roman"/>
        </w:rPr>
        <w:t>]).</w:t>
      </w:r>
    </w:p>
    <w:p w14:paraId="5A906C77" w14:textId="1A20449C" w:rsidR="00266909" w:rsidRDefault="006F1DEE">
      <w:pPr>
        <w:spacing w:after="120" w:line="360" w:lineRule="auto"/>
        <w:ind w:firstLine="403"/>
        <w:jc w:val="both"/>
      </w:pPr>
      <w:r>
        <w:t xml:space="preserve">The </w:t>
      </w:r>
      <w:proofErr w:type="spellStart"/>
      <w:r>
        <w:t>Olist</w:t>
      </w:r>
      <w:proofErr w:type="spellEnd"/>
      <w:r>
        <w:t xml:space="preserve"> corpus exposes delivery-time observables but not invoice payment-time observables, so the literal target is delivery lateness rather than payment lateness; for the purposes of this study the construct of interest is the wider class of</w:t>
      </w:r>
    </w:p>
    <w:p w14:paraId="719E042B" w14:textId="533F403D" w:rsidR="00266909" w:rsidRDefault="00927C5D">
      <w:pPr>
        <w:spacing w:after="120" w:line="360" w:lineRule="auto"/>
        <w:ind w:firstLine="403"/>
        <w:jc w:val="both"/>
      </w:pPr>
      <w:r>
        <w:t>ERP-style operational-risk prediction (sparse, tabular, time-stamped business</w:t>
      </w:r>
      <w:r w:rsidR="004B6798">
        <w:t xml:space="preserve"> </w:t>
      </w:r>
      <w:r>
        <w:t xml:space="preserve">process records with a small positive-class prevalence), of which late delivery is one instance and late payment is another. The proposed architectural pattern (Section </w:t>
      </w:r>
      <w:r w:rsidR="00E20B71">
        <w:t>3.4.3</w:t>
      </w:r>
      <w:r>
        <w:t xml:space="preserve">) is task-agnostic and </w:t>
      </w:r>
      <w:proofErr w:type="spellStart"/>
      <w:r>
        <w:t>generalises</w:t>
      </w:r>
      <w:proofErr w:type="spellEnd"/>
      <w:r>
        <w:t xml:space="preserve"> directly to the late-payment prediction service (</w:t>
      </w:r>
      <w:proofErr w:type="spellStart"/>
      <w:r>
        <w:t>LatePaymentPredictor</w:t>
      </w:r>
      <w:proofErr w:type="spellEnd"/>
      <w:r>
        <w:t>) of the studied ERP, which shares the same tabular, sparsity-conditioned structure.</w:t>
      </w:r>
    </w:p>
    <w:p w14:paraId="5612D7E3" w14:textId="77777777" w:rsidR="00266909" w:rsidRDefault="00927C5D">
      <w:pPr>
        <w:spacing w:after="120" w:line="360" w:lineRule="auto"/>
        <w:ind w:firstLine="403"/>
        <w:jc w:val="both"/>
      </w:pPr>
      <w:r>
        <w:rPr>
          <w:b/>
        </w:rPr>
        <w:t>Synthetic CRM Leads Corpus.</w:t>
      </w:r>
    </w:p>
    <w:p w14:paraId="21D5B4E6" w14:textId="15B3DBB4" w:rsidR="00266909" w:rsidRDefault="00927C5D" w:rsidP="00DD0721">
      <w:pPr>
        <w:spacing w:after="120" w:line="360" w:lineRule="auto"/>
        <w:ind w:firstLine="403"/>
        <w:jc w:val="both"/>
      </w:pPr>
      <w:r>
        <w:t xml:space="preserve">No public CRM lead-scoring dataset of sufficient size and structural realism was identified during corpus selection, and the studied ERP's own production CRM tables </w:t>
      </w:r>
      <w:r>
        <w:lastRenderedPageBreak/>
        <w:t>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w:t>
      </w:r>
      <w:r w:rsidR="00DD0721">
        <w:t xml:space="preserve"> </w:t>
      </w:r>
      <w:r>
        <w:t xml:space="preserve">datasets/crm_leads_dataset.csv. The corpus contains N = 5,000 lead records (one row per lead) with 20 raw columns; after dropping </w:t>
      </w:r>
      <w:proofErr w:type="gramStart"/>
      <w:r>
        <w:t>personally-identifying</w:t>
      </w:r>
      <w:proofErr w:type="gramEnd"/>
      <w:r>
        <w:t xml:space="preserve"> and post-event fields and one-hot encoding the categorical attributes source, </w:t>
      </w:r>
      <w:proofErr w:type="spellStart"/>
      <w:r>
        <w:t>service_interest</w:t>
      </w:r>
      <w:proofErr w:type="spellEnd"/>
      <w:r>
        <w:t>,</w:t>
      </w:r>
      <w:r w:rsidR="00DD0721">
        <w:t xml:space="preserve"> </w:t>
      </w:r>
      <w:r>
        <w:t xml:space="preserve">country, and </w:t>
      </w:r>
      <w:proofErr w:type="spellStart"/>
      <w:r>
        <w:t>job_title</w:t>
      </w:r>
      <w:proofErr w:type="spellEnd"/>
      <w:r>
        <w:t>, the model-facing feature matrix comprises 34 covariates. The binary target is won = 1[status = won], with a class prevalence of 21.3% positives.</w:t>
      </w:r>
    </w:p>
    <w:p w14:paraId="0CC30CA7" w14:textId="160DCDEA" w:rsidR="00266909" w:rsidRDefault="00927C5D" w:rsidP="00DD0721">
      <w:pPr>
        <w:spacing w:after="120" w:line="360" w:lineRule="auto"/>
        <w:ind w:firstLine="403"/>
        <w:jc w:val="both"/>
      </w:pPr>
      <w:r>
        <w:t xml:space="preserve">The four numeric predictors are </w:t>
      </w:r>
      <w:proofErr w:type="spellStart"/>
      <w:r>
        <w:t>estimated_value</w:t>
      </w:r>
      <w:proofErr w:type="spellEnd"/>
      <w:r>
        <w:t xml:space="preserve"> (deal size),</w:t>
      </w:r>
      <w:r w:rsidR="00DD0721">
        <w:t xml:space="preserve"> </w:t>
      </w:r>
      <w:r>
        <w:t xml:space="preserve">probability (sales-team-assigned win likelihood at the time of scoring), </w:t>
      </w:r>
      <w:proofErr w:type="spellStart"/>
      <w:r>
        <w:t>activity_count</w:t>
      </w:r>
      <w:proofErr w:type="spellEnd"/>
      <w:r>
        <w:t xml:space="preserve"> (count of touchpoints recorded against the lead), and </w:t>
      </w:r>
      <w:proofErr w:type="spellStart"/>
      <w:r>
        <w:t>days_in_pipeline</w:t>
      </w:r>
      <w:proofErr w:type="spellEnd"/>
      <w:r>
        <w:t xml:space="preserve"> (age of the lead since</w:t>
      </w:r>
      <w:r w:rsidR="004B6798">
        <w:t xml:space="preserve"> </w:t>
      </w:r>
      <w:proofErr w:type="spellStart"/>
      <w:r>
        <w:t>created_at</w:t>
      </w:r>
      <w:proofErr w:type="spellEnd"/>
      <w:r>
        <w:t>). The four categorical predictors are</w:t>
      </w:r>
      <w:r w:rsidR="004B6798">
        <w:t xml:space="preserve"> </w:t>
      </w:r>
      <w:r>
        <w:t xml:space="preserve">source, </w:t>
      </w:r>
      <w:proofErr w:type="spellStart"/>
      <w:r>
        <w:t>service_interest</w:t>
      </w:r>
      <w:proofErr w:type="spellEnd"/>
      <w:r>
        <w:t>, country, and</w:t>
      </w:r>
      <w:r w:rsidR="004B6798">
        <w:t xml:space="preserve"> </w:t>
      </w:r>
      <w:proofErr w:type="spellStart"/>
      <w:r>
        <w:t>job_title</w:t>
      </w:r>
      <w:proofErr w:type="spellEnd"/>
      <w:r>
        <w:t>.</w:t>
      </w:r>
    </w:p>
    <w:p w14:paraId="5FA80E0E" w14:textId="09E28BA4" w:rsidR="00266909" w:rsidRDefault="00927C5D" w:rsidP="00DD0721">
      <w:pPr>
        <w:spacing w:after="120" w:line="360" w:lineRule="auto"/>
        <w:ind w:firstLine="403"/>
        <w:jc w:val="both"/>
      </w:pPr>
      <w:r>
        <w:t>Three leakage controls are imposed by construction. First, the column</w:t>
      </w:r>
      <w:r w:rsidR="00DD0721">
        <w:t xml:space="preserve"> </w:t>
      </w:r>
      <w:proofErr w:type="spellStart"/>
      <w:r>
        <w:t>conversion_date</w:t>
      </w:r>
      <w:proofErr w:type="spellEnd"/>
      <w:r>
        <w:t xml:space="preserve"> is populated only for converted leads and is therefore a post-event variable that perfectly determines the target; it is dropped before training. Second, the raw status column is the target itself and is excluded from features. Third, all identifier and PII columns (</w:t>
      </w:r>
      <w:proofErr w:type="spellStart"/>
      <w:r>
        <w:t>lead_number</w:t>
      </w:r>
      <w:proofErr w:type="spellEnd"/>
      <w:r>
        <w:t>,</w:t>
      </w:r>
      <w:r w:rsidR="004B6798">
        <w:t xml:space="preserve"> </w:t>
      </w:r>
      <w:proofErr w:type="spellStart"/>
      <w:r>
        <w:t>first_name</w:t>
      </w:r>
      <w:proofErr w:type="spellEnd"/>
      <w:r>
        <w:t xml:space="preserve">, </w:t>
      </w:r>
      <w:proofErr w:type="spellStart"/>
      <w:r>
        <w:t>last_name</w:t>
      </w:r>
      <w:proofErr w:type="spellEnd"/>
      <w:r>
        <w:t>, email,</w:t>
      </w:r>
      <w:r w:rsidR="004B6798">
        <w:t xml:space="preserve"> </w:t>
      </w:r>
      <w:r>
        <w:t xml:space="preserve">phone, mobile, </w:t>
      </w:r>
      <w:proofErr w:type="spellStart"/>
      <w:r>
        <w:t>company_name</w:t>
      </w:r>
      <w:proofErr w:type="spellEnd"/>
      <w:r>
        <w:t>, city,</w:t>
      </w:r>
      <w:r w:rsidR="004B6798">
        <w:t xml:space="preserve"> </w:t>
      </w:r>
      <w:proofErr w:type="spellStart"/>
      <w:r>
        <w:t>created_at</w:t>
      </w:r>
      <w:proofErr w:type="spellEnd"/>
      <w:r>
        <w:t xml:space="preserve">, </w:t>
      </w:r>
      <w:proofErr w:type="spellStart"/>
      <w:r>
        <w:t>last_contact_date</w:t>
      </w:r>
      <w:proofErr w:type="spellEnd"/>
      <w:r>
        <w:t xml:space="preserve">) carry no predictive content under the chosen feature representation and are dropped. The resulting feature matrix therefore represents the current snapshot of a lead </w:t>
      </w:r>
      <w:proofErr w:type="gramStart"/>
      <w:r>
        <w:t>at the moment</w:t>
      </w:r>
      <w:proofErr w:type="gramEnd"/>
      <w:r>
        <w:t xml:space="preserve"> a scoring call would be issued, mirroring how CRM systems expose lead state to a downstream model in production.</w:t>
      </w:r>
    </w:p>
    <w:p w14:paraId="4D30265F" w14:textId="04FE8559" w:rsidR="00266909" w:rsidRDefault="00927C5D">
      <w:pPr>
        <w:spacing w:after="120" w:line="360" w:lineRule="auto"/>
        <w:ind w:firstLine="403"/>
        <w:jc w:val="both"/>
      </w:pPr>
      <w:r>
        <w:t>The rationale for using a synthetic corpus is twofold: (</w:t>
      </w:r>
      <w:proofErr w:type="spellStart"/>
      <w:r>
        <w:t>i</w:t>
      </w:r>
      <w:proofErr w:type="spellEnd"/>
      <w:r>
        <w:t xml:space="preserve">)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w:t>
      </w:r>
      <w:r>
        <w:lastRenderedPageBreak/>
        <w:t xml:space="preserve">distributional drift. The principal limitation is one of external validity: because the records are drawn from a parametric generator rather than a real CRM workflow, the absolute level of predictive performance and the specific feature importances reported in </w:t>
      </w:r>
      <w:r w:rsidR="00E20B71">
        <w:t>Chapter IV</w:t>
      </w:r>
      <w:r>
        <w:t xml:space="preserve"> should be read as illustrative of the shape of the sparsity-induced degradation curve, not as point estimates transferable to any particular commercial CRM deployment. The structural findings of </w:t>
      </w:r>
      <w:proofErr w:type="gramStart"/>
      <w:r>
        <w:t>interest</w:t>
      </w:r>
      <w:proofErr w:type="gramEnd"/>
      <w:r w:rsidR="00E64620">
        <w:t xml:space="preserve"> </w:t>
      </w:r>
      <w:r>
        <w:t xml:space="preserve">the monotone collapse of rank agreement, the order-of-magnitude expansion of attribution variance, and the cold-start flip of predictive </w:t>
      </w:r>
      <w:r w:rsidR="00205173">
        <w:t>performance are</w:t>
      </w:r>
      <w:r>
        <w:t xml:space="preserve"> nevertheless replicated on this corpus and are interpreted as evidence of the architectural pattern rather than as production-grade performance estimates.</w:t>
      </w:r>
    </w:p>
    <w:p w14:paraId="4B3CEAF2" w14:textId="77777777" w:rsidR="00266909" w:rsidRDefault="00927C5D">
      <w:pPr>
        <w:spacing w:after="120" w:line="360" w:lineRule="auto"/>
        <w:ind w:firstLine="403"/>
        <w:jc w:val="both"/>
      </w:pPr>
      <w:r>
        <w:rPr>
          <w:b/>
        </w:rPr>
        <w:t>IBM HR Analytics Employee Attrition Dataset.</w:t>
      </w:r>
    </w:p>
    <w:p w14:paraId="7B0E16FC" w14:textId="77777777" w:rsidR="00266909" w:rsidRDefault="00927C5D">
      <w:pPr>
        <w:spacing w:after="120" w:line="360" w:lineRule="auto"/>
        <w:ind w:firstLine="403"/>
        <w:jc w:val="both"/>
      </w:pPr>
      <w:r>
        <w:t>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w:t>
      </w:r>
    </w:p>
    <w:p w14:paraId="6694AFEA" w14:textId="77777777" w:rsidR="00266909" w:rsidRDefault="00927C5D">
      <w:pPr>
        <w:spacing w:after="120" w:line="360" w:lineRule="auto"/>
        <w:ind w:firstLine="403"/>
        <w:jc w:val="both"/>
      </w:pPr>
      <w:r>
        <w:t>The suitability of these datasets as ERP proxies rests on three structural correspondences: (</w:t>
      </w:r>
      <w:proofErr w:type="spellStart"/>
      <w:r>
        <w:t>i</w:t>
      </w:r>
      <w:proofErr w:type="spellEnd"/>
      <w:r>
        <w:t>)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14:paraId="712D9346" w14:textId="3BDEA474" w:rsidR="00266909" w:rsidRPr="00935488" w:rsidRDefault="00935488" w:rsidP="00935488">
      <w:pPr>
        <w:pStyle w:val="Heading2"/>
        <w:spacing w:after="120"/>
        <w:rPr>
          <w:rFonts w:ascii="Times New Roman" w:hAnsi="Times New Roman" w:cs="Times New Roman"/>
          <w:color w:val="000000"/>
          <w:sz w:val="24"/>
        </w:rPr>
      </w:pPr>
      <w:bookmarkStart w:id="8" w:name="_Toc231264575"/>
      <w:r w:rsidRPr="00935488">
        <w:rPr>
          <w:rFonts w:ascii="Times New Roman" w:hAnsi="Times New Roman" w:cs="Times New Roman"/>
          <w:color w:val="000000"/>
          <w:sz w:val="24"/>
        </w:rPr>
        <w:t>3.3 Data Preparation</w:t>
      </w:r>
      <w:bookmarkEnd w:id="8"/>
    </w:p>
    <w:p w14:paraId="7C77DA83" w14:textId="2E5AC78A" w:rsidR="00266909" w:rsidRPr="00935488" w:rsidRDefault="00935488" w:rsidP="00935488">
      <w:pPr>
        <w:pStyle w:val="Heading3"/>
        <w:spacing w:after="120"/>
        <w:rPr>
          <w:rFonts w:ascii="Times New Roman" w:hAnsi="Times New Roman" w:cs="Times New Roman"/>
          <w:color w:val="000000"/>
        </w:rPr>
      </w:pPr>
      <w:bookmarkStart w:id="9" w:name="_Toc231264576"/>
      <w:r w:rsidRPr="00935488">
        <w:rPr>
          <w:rFonts w:ascii="Times New Roman" w:hAnsi="Times New Roman" w:cs="Times New Roman"/>
          <w:color w:val="000000"/>
        </w:rPr>
        <w:t>3.3.1 Feature Engineering</w:t>
      </w:r>
      <w:bookmarkEnd w:id="9"/>
    </w:p>
    <w:p w14:paraId="1D06DDFC" w14:textId="77777777" w:rsidR="00266909" w:rsidRDefault="00927C5D">
      <w:pPr>
        <w:spacing w:after="120" w:line="360" w:lineRule="auto"/>
        <w:ind w:firstLine="403"/>
        <w:jc w:val="both"/>
      </w:pPr>
      <w:r>
        <w:t>Each raw record was passed through a deterministic feature-engineering pipeline that produced 13 engineered covariates per row, grouped into four families:</w:t>
      </w:r>
    </w:p>
    <w:p w14:paraId="1AC3E6C3" w14:textId="49A1AFD4" w:rsidR="00266909" w:rsidRDefault="00927C5D" w:rsidP="00205173">
      <w:pPr>
        <w:pStyle w:val="ListBullet"/>
        <w:spacing w:after="120" w:line="360" w:lineRule="auto"/>
        <w:jc w:val="both"/>
      </w:pPr>
      <w:r>
        <w:t>Temporal-derivative features. From the raw</w:t>
      </w:r>
      <w:r w:rsidR="00205173">
        <w:t xml:space="preserve"> </w:t>
      </w:r>
      <w:proofErr w:type="spellStart"/>
      <w:r>
        <w:t>order_purchase_timestamp</w:t>
      </w:r>
      <w:proofErr w:type="spellEnd"/>
      <w:r>
        <w:t>,</w:t>
      </w:r>
      <w:r w:rsidR="00205173">
        <w:t xml:space="preserve"> </w:t>
      </w:r>
      <w:proofErr w:type="spellStart"/>
      <w:r>
        <w:t>order_approved_at</w:t>
      </w:r>
      <w:proofErr w:type="spellEnd"/>
      <w:r>
        <w:t>, and</w:t>
      </w:r>
      <w:r w:rsidR="00205173">
        <w:t xml:space="preserve"> </w:t>
      </w:r>
      <w:proofErr w:type="spellStart"/>
      <w:r>
        <w:t>order_estimated_delivery_date</w:t>
      </w:r>
      <w:proofErr w:type="spellEnd"/>
      <w:r>
        <w:t xml:space="preserve"> columns, the variables</w:t>
      </w:r>
      <w:r w:rsidR="00205173">
        <w:t xml:space="preserve"> </w:t>
      </w:r>
      <w:proofErr w:type="spellStart"/>
      <w:r>
        <w:lastRenderedPageBreak/>
        <w:t>approval_delay_hours</w:t>
      </w:r>
      <w:proofErr w:type="spellEnd"/>
      <w:r>
        <w:t xml:space="preserve"> (purchase-to-approval interval),</w:t>
      </w:r>
      <w:r w:rsidR="00205173">
        <w:t xml:space="preserve"> </w:t>
      </w:r>
      <w:proofErr w:type="spellStart"/>
      <w:r>
        <w:t>estimated_delivery_days</w:t>
      </w:r>
      <w:proofErr w:type="spellEnd"/>
      <w:r>
        <w:t xml:space="preserve"> (the courier ETA quoted to the customer at order time),</w:t>
      </w:r>
      <w:r w:rsidR="00205173">
        <w:t xml:space="preserve"> </w:t>
      </w:r>
      <w:proofErr w:type="spellStart"/>
      <w:r>
        <w:t>purchase_hour</w:t>
      </w:r>
      <w:proofErr w:type="spellEnd"/>
      <w:r>
        <w:t xml:space="preserve">, and </w:t>
      </w:r>
      <w:proofErr w:type="spellStart"/>
      <w:r>
        <w:t>purchase_dow</w:t>
      </w:r>
      <w:proofErr w:type="spellEnd"/>
      <w:r>
        <w:t xml:space="preserve"> (day-of-week of purchase) were computed.</w:t>
      </w:r>
    </w:p>
    <w:p w14:paraId="70BFC9AE" w14:textId="0CC27E78" w:rsidR="00266909" w:rsidRDefault="00927C5D" w:rsidP="00205173">
      <w:pPr>
        <w:pStyle w:val="ListBullet"/>
        <w:spacing w:after="120" w:line="360" w:lineRule="auto"/>
        <w:jc w:val="both"/>
      </w:pPr>
      <w:r>
        <w:t>Monetary features. From the order-items and payments</w:t>
      </w:r>
      <w:r w:rsidR="00205173">
        <w:t xml:space="preserve"> </w:t>
      </w:r>
      <w:r>
        <w:t xml:space="preserve">tables, the variables </w:t>
      </w:r>
      <w:proofErr w:type="spellStart"/>
      <w:r>
        <w:t>payment_value</w:t>
      </w:r>
      <w:proofErr w:type="spellEnd"/>
      <w:r>
        <w:t xml:space="preserve">, </w:t>
      </w:r>
      <w:proofErr w:type="spellStart"/>
      <w:r>
        <w:t>freight_value</w:t>
      </w:r>
      <w:proofErr w:type="spellEnd"/>
      <w:r>
        <w:t xml:space="preserve">, and </w:t>
      </w:r>
      <w:proofErr w:type="spellStart"/>
      <w:r>
        <w:t>price_total</w:t>
      </w:r>
      <w:proofErr w:type="spellEnd"/>
      <w:r>
        <w:t xml:space="preserve"> (aggregate line-item total per order) were derived.</w:t>
      </w:r>
    </w:p>
    <w:p w14:paraId="5AE3A333" w14:textId="64802A74" w:rsidR="00266909" w:rsidRDefault="00927C5D" w:rsidP="00205173">
      <w:pPr>
        <w:pStyle w:val="ListBullet"/>
        <w:spacing w:after="120" w:line="360" w:lineRule="auto"/>
        <w:jc w:val="both"/>
      </w:pPr>
      <w:r>
        <w:t xml:space="preserve">Cardinality features. The variables </w:t>
      </w:r>
      <w:proofErr w:type="spellStart"/>
      <w:r>
        <w:t>num_items</w:t>
      </w:r>
      <w:proofErr w:type="spellEnd"/>
      <w:r w:rsidR="00205173">
        <w:t xml:space="preserve"> </w:t>
      </w:r>
      <w:r>
        <w:t xml:space="preserve">(line-item count) and </w:t>
      </w:r>
      <w:proofErr w:type="spellStart"/>
      <w:r>
        <w:t>payment_installments</w:t>
      </w:r>
      <w:proofErr w:type="spellEnd"/>
      <w:r>
        <w:t xml:space="preserve"> (number of instalments selected at checkout) were</w:t>
      </w:r>
      <w:r w:rsidR="00205173">
        <w:t xml:space="preserve"> </w:t>
      </w:r>
      <w:r>
        <w:t>extracted, capturing order-level structural complexity.</w:t>
      </w:r>
    </w:p>
    <w:p w14:paraId="40BB1745" w14:textId="4A5EE4F9" w:rsidR="00266909" w:rsidRDefault="00927C5D" w:rsidP="00205173">
      <w:pPr>
        <w:pStyle w:val="ListBullet"/>
        <w:spacing w:after="120" w:line="360" w:lineRule="auto"/>
        <w:jc w:val="both"/>
      </w:pPr>
      <w:r>
        <w:t xml:space="preserve">Categorical encodings. The </w:t>
      </w:r>
      <w:proofErr w:type="spellStart"/>
      <w:r>
        <w:t>payment_type</w:t>
      </w:r>
      <w:proofErr w:type="spellEnd"/>
      <w:r>
        <w:t xml:space="preserve"> field</w:t>
      </w:r>
      <w:r w:rsidR="00205173">
        <w:t xml:space="preserve"> </w:t>
      </w:r>
      <w:r>
        <w:t>was one-hot encoded into four</w:t>
      </w:r>
      <w:r w:rsidR="00205173">
        <w:t xml:space="preserve"> </w:t>
      </w:r>
      <w:r>
        <w:t>indicator columns (</w:t>
      </w:r>
      <w:proofErr w:type="spellStart"/>
      <w:r>
        <w:t>credit_card</w:t>
      </w:r>
      <w:proofErr w:type="spellEnd"/>
      <w:r>
        <w:t xml:space="preserve">, </w:t>
      </w:r>
      <w:proofErr w:type="spellStart"/>
      <w:r>
        <w:t>boleto</w:t>
      </w:r>
      <w:proofErr w:type="spellEnd"/>
      <w:r>
        <w:t>, voucher,</w:t>
      </w:r>
      <w:r w:rsidR="00205173">
        <w:t xml:space="preserve"> </w:t>
      </w:r>
      <w:proofErr w:type="spellStart"/>
      <w:r>
        <w:t>debit_card</w:t>
      </w:r>
      <w:proofErr w:type="spellEnd"/>
      <w:r>
        <w:t>).</w:t>
      </w:r>
    </w:p>
    <w:p w14:paraId="647889F5" w14:textId="77777777" w:rsidR="00266909" w:rsidRDefault="00927C5D">
      <w:pPr>
        <w:spacing w:after="120" w:line="360" w:lineRule="auto"/>
        <w:ind w:firstLine="403"/>
        <w:jc w:val="both"/>
      </w:pPr>
      <w:r>
        <w:rPr>
          <w:b/>
        </w:rPr>
        <w:t>Leakage-avoidance constraint.</w:t>
      </w:r>
    </w:p>
    <w:p w14:paraId="544D11EF" w14:textId="4F45CBE7" w:rsidR="00266909" w:rsidRDefault="00927C5D" w:rsidP="00205173">
      <w:pPr>
        <w:spacing w:after="120" w:line="360" w:lineRule="auto"/>
        <w:ind w:firstLine="403"/>
        <w:jc w:val="both"/>
      </w:pPr>
      <w:r>
        <w:t xml:space="preserve">All engineered covariates listed above are restricted, by construction, to information that would be available </w:t>
      </w:r>
      <w:proofErr w:type="gramStart"/>
      <w:r>
        <w:t>at the moment</w:t>
      </w:r>
      <w:proofErr w:type="gramEnd"/>
      <w:r>
        <w:t xml:space="preserve"> a late-payment prediction is </w:t>
      </w:r>
      <w:proofErr w:type="gramStart"/>
      <w:r>
        <w:t>required</w:t>
      </w:r>
      <w:proofErr w:type="gramEnd"/>
      <w:r w:rsidR="004B6798">
        <w:t xml:space="preserve"> </w:t>
      </w:r>
      <w:r>
        <w:t>namely, at order approval / invoice issuance. Timestamps from the delivery pipeline</w:t>
      </w:r>
      <w:r w:rsidR="00DD0721">
        <w:t xml:space="preserve"> </w:t>
      </w:r>
      <w:proofErr w:type="spellStart"/>
      <w:r>
        <w:t>order_delivered_carrier_date</w:t>
      </w:r>
      <w:proofErr w:type="spellEnd"/>
      <w:r>
        <w:t xml:space="preserve"> and</w:t>
      </w:r>
      <w:r w:rsidR="00205173">
        <w:t xml:space="preserve"> </w:t>
      </w:r>
      <w:proofErr w:type="spellStart"/>
      <w:r>
        <w:t>order_delivered_customer_date</w:t>
      </w:r>
      <w:proofErr w:type="spellEnd"/>
      <w:r>
        <w:t xml:space="preserve">---are reserved solely for the construction of the binary target and are explicitly excluded from the feature matrix. In particular, an earlier version of this study included the covariate </w:t>
      </w:r>
      <w:proofErr w:type="spellStart"/>
      <w:r>
        <w:t>carrier_delay_hours</w:t>
      </w:r>
      <w:proofErr w:type="spellEnd"/>
      <w:r>
        <w:t xml:space="preserve">, defined as the interval between </w:t>
      </w:r>
      <w:proofErr w:type="spellStart"/>
      <w:r>
        <w:t>order_approved_at</w:t>
      </w:r>
      <w:proofErr w:type="spellEnd"/>
      <w:r>
        <w:t xml:space="preserve"> and</w:t>
      </w:r>
      <w:r w:rsidR="00205173">
        <w:t xml:space="preserve"> </w:t>
      </w:r>
      <w:proofErr w:type="spellStart"/>
      <w:r>
        <w:t>order_delivered_carrier_date</w:t>
      </w:r>
      <w:proofErr w:type="spellEnd"/>
      <w:r>
        <w:t xml:space="preserve">; it was subsequently removed because, although it precedes the customer-delivery event, it is itself a delivery-pipeline observable and is therefore not </w:t>
      </w:r>
      <w:proofErr w:type="spellStart"/>
      <w:r>
        <w:t>realised</w:t>
      </w:r>
      <w:proofErr w:type="spellEnd"/>
      <w:r>
        <w:t xml:space="preserve"> at prediction time in a deployed ERP late-payment workflow. Its inclusion would have constituted a textbook instance of target leakage and would have inflated the predictive metrics reported in </w:t>
      </w:r>
      <w:r w:rsidR="00E20B71">
        <w:t>Chapter IV</w:t>
      </w:r>
      <w:r>
        <w:t xml:space="preserve"> without reflecting </w:t>
      </w:r>
      <w:proofErr w:type="gramStart"/>
      <w:r>
        <w:t>a capability</w:t>
      </w:r>
      <w:proofErr w:type="gramEnd"/>
      <w:r>
        <w:t xml:space="preserve"> the model would possess in production. The restriction reduces the engineered feature count from 14 to 13 and rules out the trivial metric inflation that would otherwise arise from explaining a delivery-time outcome with a delivery-time covariate.</w:t>
      </w:r>
    </w:p>
    <w:p w14:paraId="2BB5DF75" w14:textId="61CC243D" w:rsidR="00266909" w:rsidRDefault="006F1DEE">
      <w:pPr>
        <w:spacing w:after="120" w:line="360" w:lineRule="auto"/>
        <w:ind w:firstLine="403"/>
        <w:jc w:val="both"/>
      </w:pPr>
      <w:r>
        <w:t xml:space="preserve">Missing values were imputed using the column-wise median for numeric features and the modal value for categorical features, and the resulting matrix was </w:t>
      </w:r>
      <w:proofErr w:type="spellStart"/>
      <w:r>
        <w:t>standardised</w:t>
      </w:r>
      <w:proofErr w:type="spellEnd"/>
      <w:r>
        <w:t xml:space="preserve"> </w:t>
      </w:r>
      <w:r>
        <w:lastRenderedPageBreak/>
        <w:t xml:space="preserve">by z-scoring of numeric columns. The binary target </w:t>
      </w:r>
      <w:proofErr w:type="spellStart"/>
      <w:r>
        <w:t>is_late</w:t>
      </w:r>
      <w:proofErr w:type="spellEnd"/>
      <w:r>
        <w:t xml:space="preserve"> was constructed as 1[</w:t>
      </w:r>
      <w:proofErr w:type="spellStart"/>
      <w:r>
        <w:t>order_delivered_customer_date</w:t>
      </w:r>
      <w:proofErr w:type="spellEnd"/>
      <w:r>
        <w:t xml:space="preserve"> &gt; </w:t>
      </w:r>
      <w:proofErr w:type="spellStart"/>
      <w:r>
        <w:t>order_estimated_delivery_date</w:t>
      </w:r>
      <w:proofErr w:type="spellEnd"/>
      <w:r>
        <w:t>]. The overall positive-class prevalence after joining was 8.1%, establishing a moderately imbalanced classification problem consistent with typical ERP late-delivery (and, by structural analogy, late-payment) base rates.</w:t>
      </w:r>
    </w:p>
    <w:p w14:paraId="5155D715" w14:textId="34034DCF" w:rsidR="00266909" w:rsidRPr="00935488" w:rsidRDefault="00935488" w:rsidP="00935488">
      <w:pPr>
        <w:pStyle w:val="Heading3"/>
        <w:spacing w:after="120"/>
        <w:rPr>
          <w:rFonts w:ascii="Times New Roman" w:hAnsi="Times New Roman" w:cs="Times New Roman"/>
          <w:color w:val="000000"/>
        </w:rPr>
      </w:pPr>
      <w:bookmarkStart w:id="10" w:name="_Toc231264577"/>
      <w:r w:rsidRPr="00935488">
        <w:rPr>
          <w:rFonts w:ascii="Times New Roman" w:hAnsi="Times New Roman" w:cs="Times New Roman"/>
          <w:color w:val="000000"/>
        </w:rPr>
        <w:t>3.3.2 Multi-Tenant Simulation Strategy</w:t>
      </w:r>
      <w:bookmarkEnd w:id="10"/>
    </w:p>
    <w:p w14:paraId="7675ED6A" w14:textId="6A291E3A" w:rsidR="00266909" w:rsidRDefault="00927C5D" w:rsidP="00DD0721">
      <w:pPr>
        <w:spacing w:after="120" w:line="360" w:lineRule="auto"/>
        <w:ind w:firstLine="403"/>
        <w:jc w:val="both"/>
      </w:pPr>
      <w:r>
        <w:t xml:space="preserve">Because no </w:t>
      </w:r>
      <w:proofErr w:type="gramStart"/>
      <w:r>
        <w:t>commercially-shareable</w:t>
      </w:r>
      <w:proofErr w:type="gramEnd"/>
      <w:r>
        <w:t xml:space="preserve"> multi-tenant ERP dataset exists at the scale required to expose a sparsity gradient, this study adopted a</w:t>
      </w:r>
      <w:r w:rsidR="00DD0721">
        <w:t xml:space="preserve"> </w:t>
      </w:r>
      <w:r>
        <w:t>stratified data-volume slicing strategy to simulate the long-tail distribution of tenant maturities observed empirically in production SaaS platforms. The procedure was as follows:</w:t>
      </w:r>
    </w:p>
    <w:p w14:paraId="24B3BC01" w14:textId="4BF9A9EC" w:rsidR="00266909" w:rsidRDefault="00927C5D" w:rsidP="004E06FC">
      <w:pPr>
        <w:pStyle w:val="ListBullet"/>
        <w:spacing w:after="120" w:line="360" w:lineRule="auto"/>
        <w:jc w:val="both"/>
      </w:pPr>
      <w:r>
        <w:t xml:space="preserve">The unified, feature-engineered </w:t>
      </w:r>
      <w:proofErr w:type="spellStart"/>
      <w:r>
        <w:t>Olist</w:t>
      </w:r>
      <w:proofErr w:type="spellEnd"/>
      <w:r>
        <w:t xml:space="preserve"> late-delivery table</w:t>
      </w:r>
      <w:r w:rsidR="00DD0721">
        <w:t xml:space="preserve"> </w:t>
      </w:r>
      <w:r>
        <w:t xml:space="preserve">(N = 96,460, positive prevalence 8.1%) was first partitioned into a global hold-out evaluation set (20%, n = 19,292) using a stratified random split with seed </w:t>
      </w:r>
      <w:proofErr w:type="spellStart"/>
      <w:r>
        <w:t>SEED</w:t>
      </w:r>
      <w:proofErr w:type="spellEnd"/>
      <w:r>
        <w:t xml:space="preserve"> = 42, preserving the late-delivery class prevalence.</w:t>
      </w:r>
    </w:p>
    <w:p w14:paraId="1ED01115" w14:textId="2B8841AC" w:rsidR="00266909" w:rsidRDefault="00927C5D" w:rsidP="004E06FC">
      <w:pPr>
        <w:pStyle w:val="ListBullet"/>
        <w:spacing w:after="120" w:line="360" w:lineRule="auto"/>
        <w:jc w:val="both"/>
      </w:pPr>
      <w:r>
        <w:t>From the remaining 77,168 training rows, five disjoint</w:t>
      </w:r>
      <w:r w:rsidR="004E06FC">
        <w:t xml:space="preserve"> </w:t>
      </w:r>
      <w:r>
        <w:t>simulated tenant partitions were drawn by stratified random sampling without replacement, each preserving the global positive-class prevalence (</w:t>
      </w:r>
      <w:r w:rsidR="00E20B71">
        <w:t>Table 3.1</w:t>
      </w:r>
      <w:r>
        <w:t>).</w:t>
      </w:r>
    </w:p>
    <w:p w14:paraId="468E7002" w14:textId="0270ED98" w:rsidR="00266909" w:rsidRDefault="00927C5D" w:rsidP="004E06FC">
      <w:pPr>
        <w:pStyle w:val="ListBullet"/>
        <w:spacing w:after="120" w:line="360" w:lineRule="auto"/>
        <w:jc w:val="both"/>
      </w:pPr>
      <w:r>
        <w:t>Each tenant partition was subsequently subjected to its own</w:t>
      </w:r>
      <w:r w:rsidR="00205173">
        <w:t xml:space="preserve"> </w:t>
      </w:r>
      <w:r>
        <w:t>internal 80/20 stratified train/validation split, again with SEED = 42, yielding tenant-local training and validation folds.</w:t>
      </w:r>
    </w:p>
    <w:p w14:paraId="7FA07B07" w14:textId="68D3FF93" w:rsidR="00266909" w:rsidRDefault="00927C5D" w:rsidP="004E06FC">
      <w:pPr>
        <w:pStyle w:val="ListBullet"/>
        <w:spacing w:after="120" w:line="360" w:lineRule="auto"/>
        <w:jc w:val="both"/>
      </w:pPr>
      <w:r>
        <w:t>All five tenants were evaluated against the shared global</w:t>
      </w:r>
      <w:r w:rsidR="004E06FC">
        <w:t xml:space="preserve"> </w:t>
      </w:r>
      <w:r>
        <w:t>hold-out evaluation set, so that cross-tenant comparisons of predictive performance and explanation fidelity referred to an identical test distribution and were therefore directly comparable.</w:t>
      </w:r>
    </w:p>
    <w:p w14:paraId="0771503B" w14:textId="57BC64B1" w:rsidR="006F1DEE" w:rsidRDefault="00DB3A76">
      <w:pPr>
        <w:spacing w:after="120" w:line="360" w:lineRule="auto"/>
        <w:ind w:firstLine="403"/>
        <w:jc w:val="both"/>
      </w:pPr>
      <w:bookmarkStart w:id="11" w:name="_Toc231065547"/>
      <w:r>
        <w:t xml:space="preserve">Table </w:t>
      </w:r>
      <w:fldSimple w:instr=" SEQ Table \* ARABIC ">
        <w:r w:rsidR="00DD0721">
          <w:rPr>
            <w:noProof/>
          </w:rPr>
          <w:t>2</w:t>
        </w:r>
      </w:fldSimple>
      <w:r>
        <w:t xml:space="preserve">. </w:t>
      </w:r>
      <w:r w:rsidR="00927C5D">
        <w:t>Simulated tenant tiers used in the sparsity experiment.</w:t>
      </w:r>
      <w:bookmarkEnd w:id="11"/>
    </w:p>
    <w:tbl>
      <w:tblPr>
        <w:tblStyle w:val="GridTable4-Accent1"/>
        <w:tblW w:w="0" w:type="auto"/>
        <w:tblLook w:val="04A0" w:firstRow="1" w:lastRow="0" w:firstColumn="1" w:lastColumn="0" w:noHBand="0" w:noVBand="1"/>
      </w:tblPr>
      <w:tblGrid>
        <w:gridCol w:w="2048"/>
        <w:gridCol w:w="1633"/>
        <w:gridCol w:w="1701"/>
        <w:gridCol w:w="2888"/>
      </w:tblGrid>
      <w:tr w:rsidR="006F1DEE" w14:paraId="5C869534" w14:textId="77777777" w:rsidTr="00DD0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2CECE463" w14:textId="7E4DBA45" w:rsidR="006F1DEE" w:rsidRPr="006F1DEE" w:rsidRDefault="006F1DEE">
            <w:pPr>
              <w:spacing w:after="120" w:line="360" w:lineRule="auto"/>
              <w:jc w:val="both"/>
              <w:rPr>
                <w:rFonts w:cs="Times New Roman"/>
                <w:sz w:val="22"/>
              </w:rPr>
            </w:pPr>
            <w:r w:rsidRPr="006F1DEE">
              <w:rPr>
                <w:rFonts w:cs="Times New Roman"/>
                <w:sz w:val="22"/>
              </w:rPr>
              <w:t>Tier</w:t>
            </w:r>
          </w:p>
        </w:tc>
        <w:tc>
          <w:tcPr>
            <w:tcW w:w="1633" w:type="dxa"/>
          </w:tcPr>
          <w:p w14:paraId="170262C3" w14:textId="06EFF7A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Tenant label</w:t>
            </w:r>
          </w:p>
        </w:tc>
        <w:tc>
          <w:tcPr>
            <w:tcW w:w="1701" w:type="dxa"/>
          </w:tcPr>
          <w:p w14:paraId="5193A08A" w14:textId="3EFCB4FC"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Sample size n</w:t>
            </w:r>
          </w:p>
        </w:tc>
        <w:tc>
          <w:tcPr>
            <w:tcW w:w="2888" w:type="dxa"/>
          </w:tcPr>
          <w:p w14:paraId="2782B5D6" w14:textId="2841B71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Interpretation</w:t>
            </w:r>
          </w:p>
        </w:tc>
      </w:tr>
      <w:tr w:rsidR="006F1DEE" w14:paraId="526B9C23" w14:textId="77777777" w:rsidTr="00DD0721">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048" w:type="dxa"/>
          </w:tcPr>
          <w:p w14:paraId="3216CA27" w14:textId="4E7C42C5" w:rsidR="006F1DEE" w:rsidRPr="006F1DEE" w:rsidRDefault="006F1DEE">
            <w:pPr>
              <w:spacing w:after="120" w:line="360" w:lineRule="auto"/>
              <w:jc w:val="both"/>
              <w:rPr>
                <w:rFonts w:cs="Times New Roman"/>
                <w:sz w:val="22"/>
              </w:rPr>
            </w:pPr>
            <w:r w:rsidRPr="006F1DEE">
              <w:rPr>
                <w:rFonts w:cs="Times New Roman"/>
                <w:sz w:val="22"/>
              </w:rPr>
              <w:t>A</w:t>
            </w:r>
          </w:p>
        </w:tc>
        <w:tc>
          <w:tcPr>
            <w:tcW w:w="1633" w:type="dxa"/>
          </w:tcPr>
          <w:p w14:paraId="2F5600FA" w14:textId="101A5A2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Data-Rich</w:t>
            </w:r>
          </w:p>
        </w:tc>
        <w:tc>
          <w:tcPr>
            <w:tcW w:w="1701" w:type="dxa"/>
          </w:tcPr>
          <w:p w14:paraId="11704340" w14:textId="5E017B2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50,000</w:t>
            </w:r>
          </w:p>
        </w:tc>
        <w:tc>
          <w:tcPr>
            <w:tcW w:w="2888" w:type="dxa"/>
          </w:tcPr>
          <w:p w14:paraId="1AD0AC38" w14:textId="79DEAA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Mature enterprise tenant</w:t>
            </w:r>
          </w:p>
        </w:tc>
      </w:tr>
      <w:tr w:rsidR="006F1DEE" w14:paraId="5A950908" w14:textId="77777777" w:rsidTr="00DD0721">
        <w:tc>
          <w:tcPr>
            <w:cnfStyle w:val="001000000000" w:firstRow="0" w:lastRow="0" w:firstColumn="1" w:lastColumn="0" w:oddVBand="0" w:evenVBand="0" w:oddHBand="0" w:evenHBand="0" w:firstRowFirstColumn="0" w:firstRowLastColumn="0" w:lastRowFirstColumn="0" w:lastRowLastColumn="0"/>
            <w:tcW w:w="2048" w:type="dxa"/>
          </w:tcPr>
          <w:p w14:paraId="0551C29C" w14:textId="6E3D5CA8" w:rsidR="006F1DEE" w:rsidRPr="006F1DEE" w:rsidRDefault="006F1DEE">
            <w:pPr>
              <w:spacing w:after="120" w:line="360" w:lineRule="auto"/>
              <w:jc w:val="both"/>
              <w:rPr>
                <w:rFonts w:cs="Times New Roman"/>
                <w:sz w:val="22"/>
              </w:rPr>
            </w:pPr>
            <w:r w:rsidRPr="006F1DEE">
              <w:rPr>
                <w:rFonts w:cs="Times New Roman"/>
                <w:sz w:val="22"/>
              </w:rPr>
              <w:t>B</w:t>
            </w:r>
          </w:p>
        </w:tc>
        <w:tc>
          <w:tcPr>
            <w:tcW w:w="1633" w:type="dxa"/>
          </w:tcPr>
          <w:p w14:paraId="2CA3909F" w14:textId="43188E7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Medium</w:t>
            </w:r>
          </w:p>
        </w:tc>
        <w:tc>
          <w:tcPr>
            <w:tcW w:w="1701" w:type="dxa"/>
          </w:tcPr>
          <w:p w14:paraId="19EFF536" w14:textId="201D772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5,000</w:t>
            </w:r>
          </w:p>
        </w:tc>
        <w:tc>
          <w:tcPr>
            <w:tcW w:w="2888" w:type="dxa"/>
          </w:tcPr>
          <w:p w14:paraId="259EDD1B" w14:textId="0473B8C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Established SME</w:t>
            </w:r>
            <w:r w:rsidR="00DD0721">
              <w:rPr>
                <w:rFonts w:cs="Times New Roman"/>
                <w:sz w:val="22"/>
              </w:rPr>
              <w:t xml:space="preserve"> </w:t>
            </w:r>
            <w:r w:rsidRPr="006F1DEE">
              <w:rPr>
                <w:rFonts w:cs="Times New Roman"/>
                <w:sz w:val="22"/>
              </w:rPr>
              <w:t>tenant</w:t>
            </w:r>
          </w:p>
        </w:tc>
      </w:tr>
      <w:tr w:rsidR="006F1DEE" w14:paraId="2A06D9A7" w14:textId="77777777" w:rsidTr="00DD0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8" w:type="dxa"/>
          </w:tcPr>
          <w:p w14:paraId="228868E6" w14:textId="0D2C6678" w:rsidR="006F1DEE" w:rsidRPr="006F1DEE" w:rsidRDefault="006F1DEE">
            <w:pPr>
              <w:spacing w:after="120" w:line="360" w:lineRule="auto"/>
              <w:jc w:val="both"/>
              <w:rPr>
                <w:rFonts w:cs="Times New Roman"/>
                <w:sz w:val="22"/>
              </w:rPr>
            </w:pPr>
            <w:r w:rsidRPr="006F1DEE">
              <w:rPr>
                <w:rFonts w:cs="Times New Roman"/>
                <w:sz w:val="22"/>
              </w:rPr>
              <w:lastRenderedPageBreak/>
              <w:t>C</w:t>
            </w:r>
          </w:p>
        </w:tc>
        <w:tc>
          <w:tcPr>
            <w:tcW w:w="1633" w:type="dxa"/>
          </w:tcPr>
          <w:p w14:paraId="662D1618" w14:textId="7B63B7B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Sparse</w:t>
            </w:r>
          </w:p>
        </w:tc>
        <w:tc>
          <w:tcPr>
            <w:tcW w:w="1701" w:type="dxa"/>
          </w:tcPr>
          <w:p w14:paraId="6AB58F0D" w14:textId="3B8D16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1,000</w:t>
            </w:r>
          </w:p>
        </w:tc>
        <w:tc>
          <w:tcPr>
            <w:tcW w:w="2888" w:type="dxa"/>
          </w:tcPr>
          <w:p w14:paraId="523DDAFC" w14:textId="2EA0EBD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Onboarded SME tenant</w:t>
            </w:r>
          </w:p>
        </w:tc>
      </w:tr>
      <w:tr w:rsidR="006F1DEE" w14:paraId="1CFA75D8" w14:textId="77777777" w:rsidTr="00DD0721">
        <w:trPr>
          <w:trHeight w:val="631"/>
        </w:trPr>
        <w:tc>
          <w:tcPr>
            <w:cnfStyle w:val="001000000000" w:firstRow="0" w:lastRow="0" w:firstColumn="1" w:lastColumn="0" w:oddVBand="0" w:evenVBand="0" w:oddHBand="0" w:evenHBand="0" w:firstRowFirstColumn="0" w:firstRowLastColumn="0" w:lastRowFirstColumn="0" w:lastRowLastColumn="0"/>
            <w:tcW w:w="2048" w:type="dxa"/>
          </w:tcPr>
          <w:p w14:paraId="63D8A8EB" w14:textId="6E849E6C" w:rsidR="006F1DEE" w:rsidRPr="006F1DEE" w:rsidRDefault="006F1DEE">
            <w:pPr>
              <w:spacing w:after="120" w:line="360" w:lineRule="auto"/>
              <w:jc w:val="both"/>
              <w:rPr>
                <w:rFonts w:cs="Times New Roman"/>
                <w:sz w:val="22"/>
              </w:rPr>
            </w:pPr>
            <w:r w:rsidRPr="006F1DEE">
              <w:rPr>
                <w:rFonts w:cs="Times New Roman"/>
                <w:sz w:val="22"/>
              </w:rPr>
              <w:t>D</w:t>
            </w:r>
          </w:p>
        </w:tc>
        <w:tc>
          <w:tcPr>
            <w:tcW w:w="1633" w:type="dxa"/>
          </w:tcPr>
          <w:p w14:paraId="09D523A1" w14:textId="70BE9715"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Very Sparse</w:t>
            </w:r>
          </w:p>
        </w:tc>
        <w:tc>
          <w:tcPr>
            <w:tcW w:w="1701" w:type="dxa"/>
          </w:tcPr>
          <w:p w14:paraId="50C48C50" w14:textId="5AB6F8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200</w:t>
            </w:r>
          </w:p>
        </w:tc>
        <w:tc>
          <w:tcPr>
            <w:tcW w:w="2888" w:type="dxa"/>
          </w:tcPr>
          <w:p w14:paraId="1F47B514" w14:textId="386B8B5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proofErr w:type="gramStart"/>
            <w:r w:rsidRPr="006F1DEE">
              <w:rPr>
                <w:rFonts w:cs="Times New Roman"/>
                <w:sz w:val="22"/>
              </w:rPr>
              <w:t>Newly-active</w:t>
            </w:r>
            <w:proofErr w:type="gramEnd"/>
            <w:r w:rsidRPr="006F1DEE">
              <w:rPr>
                <w:rFonts w:cs="Times New Roman"/>
                <w:sz w:val="22"/>
              </w:rPr>
              <w:t xml:space="preserve"> SME tenant</w:t>
            </w:r>
          </w:p>
        </w:tc>
      </w:tr>
      <w:tr w:rsidR="006F1DEE" w14:paraId="728BF548" w14:textId="77777777" w:rsidTr="00DD0721">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048" w:type="dxa"/>
          </w:tcPr>
          <w:p w14:paraId="4F878E13" w14:textId="10CDD503" w:rsidR="006F1DEE" w:rsidRPr="006F1DEE" w:rsidRDefault="006F1DEE">
            <w:pPr>
              <w:spacing w:after="120" w:line="360" w:lineRule="auto"/>
              <w:jc w:val="both"/>
              <w:rPr>
                <w:rFonts w:cs="Times New Roman"/>
                <w:sz w:val="22"/>
              </w:rPr>
            </w:pPr>
            <w:r w:rsidRPr="006F1DEE">
              <w:rPr>
                <w:rFonts w:cs="Times New Roman"/>
                <w:sz w:val="22"/>
              </w:rPr>
              <w:t>E</w:t>
            </w:r>
          </w:p>
        </w:tc>
        <w:tc>
          <w:tcPr>
            <w:tcW w:w="1633" w:type="dxa"/>
          </w:tcPr>
          <w:p w14:paraId="1E6247FF" w14:textId="43719B5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Cold-Start</w:t>
            </w:r>
          </w:p>
        </w:tc>
        <w:tc>
          <w:tcPr>
            <w:tcW w:w="1701" w:type="dxa"/>
          </w:tcPr>
          <w:p w14:paraId="3B70B3FD" w14:textId="7861753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w:t>
            </w:r>
          </w:p>
        </w:tc>
        <w:tc>
          <w:tcPr>
            <w:tcW w:w="2888" w:type="dxa"/>
          </w:tcPr>
          <w:p w14:paraId="6DB5CD25" w14:textId="4DDA3DD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Just-onboarded SME tenant</w:t>
            </w:r>
          </w:p>
        </w:tc>
      </w:tr>
    </w:tbl>
    <w:p w14:paraId="2A263727" w14:textId="77777777" w:rsidR="00266909" w:rsidRDefault="00927C5D">
      <w:pPr>
        <w:spacing w:after="120" w:line="360" w:lineRule="auto"/>
        <w:ind w:firstLine="403"/>
        <w:jc w:val="both"/>
      </w:pPr>
      <w:r>
        <w:t>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w:t>
      </w:r>
    </w:p>
    <w:p w14:paraId="171EA1D8" w14:textId="77777777" w:rsidR="00266909" w:rsidRDefault="00927C5D">
      <w:pPr>
        <w:spacing w:after="120"/>
        <w:jc w:val="center"/>
      </w:pPr>
      <w:r>
        <w:rPr>
          <w:noProof/>
        </w:rPr>
        <w:drawing>
          <wp:inline distT="0" distB="0" distL="0" distR="0" wp14:anchorId="48545657" wp14:editId="66811A8D">
            <wp:extent cx="5303520" cy="261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3_1_simulation_strategy.png"/>
                    <pic:cNvPicPr/>
                  </pic:nvPicPr>
                  <pic:blipFill>
                    <a:blip r:embed="rId8"/>
                    <a:stretch>
                      <a:fillRect/>
                    </a:stretch>
                  </pic:blipFill>
                  <pic:spPr>
                    <a:xfrm>
                      <a:off x="0" y="0"/>
                      <a:ext cx="5303520" cy="2619520"/>
                    </a:xfrm>
                    <a:prstGeom prst="rect">
                      <a:avLst/>
                    </a:prstGeom>
                  </pic:spPr>
                </pic:pic>
              </a:graphicData>
            </a:graphic>
          </wp:inline>
        </w:drawing>
      </w:r>
    </w:p>
    <w:p w14:paraId="0D33AAAC" w14:textId="65C64FF3" w:rsidR="00266909" w:rsidRDefault="00DB3A76">
      <w:pPr>
        <w:spacing w:after="120"/>
        <w:jc w:val="center"/>
      </w:pPr>
      <w:bookmarkStart w:id="12" w:name="_Toc231065715"/>
      <w:r>
        <w:t xml:space="preserve">Figure </w:t>
      </w:r>
      <w:fldSimple w:instr=" SEQ Figure \* ARABIC ">
        <w:r w:rsidR="00DD0721">
          <w:rPr>
            <w:noProof/>
          </w:rPr>
          <w:t>3</w:t>
        </w:r>
      </w:fldSimple>
      <w:r>
        <w:t xml:space="preserve">. </w:t>
      </w:r>
      <w:r w:rsidR="00C501EB">
        <w:rPr>
          <w:i/>
        </w:rPr>
        <w:t xml:space="preserve">Stratified slicing of the </w:t>
      </w:r>
      <w:proofErr w:type="spellStart"/>
      <w:r w:rsidR="00C501EB">
        <w:rPr>
          <w:i/>
        </w:rPr>
        <w:t>Olist</w:t>
      </w:r>
      <w:proofErr w:type="spellEnd"/>
      <w:r w:rsidR="00C501EB">
        <w:rPr>
          <w:i/>
        </w:rPr>
        <w:t xml:space="preserve"> dataset into five tenants.</w:t>
      </w:r>
      <w:bookmarkEnd w:id="12"/>
    </w:p>
    <w:p w14:paraId="12273BBD" w14:textId="4FB5DB3A" w:rsidR="00266909" w:rsidRPr="00935488" w:rsidRDefault="00935488" w:rsidP="00935488">
      <w:pPr>
        <w:pStyle w:val="Heading2"/>
        <w:spacing w:after="120"/>
        <w:rPr>
          <w:rFonts w:ascii="Times New Roman" w:hAnsi="Times New Roman" w:cs="Times New Roman"/>
          <w:color w:val="000000"/>
          <w:sz w:val="24"/>
        </w:rPr>
      </w:pPr>
      <w:bookmarkStart w:id="13" w:name="_Toc231264578"/>
      <w:r w:rsidRPr="00935488">
        <w:rPr>
          <w:rFonts w:ascii="Times New Roman" w:hAnsi="Times New Roman" w:cs="Times New Roman"/>
          <w:color w:val="000000"/>
          <w:sz w:val="24"/>
        </w:rPr>
        <w:t>3.4 Modelling</w:t>
      </w:r>
      <w:bookmarkEnd w:id="13"/>
    </w:p>
    <w:p w14:paraId="062B7E6E" w14:textId="75ABD483" w:rsidR="00266909" w:rsidRPr="00935488" w:rsidRDefault="00935488" w:rsidP="00935488">
      <w:pPr>
        <w:pStyle w:val="Heading3"/>
        <w:spacing w:after="120"/>
        <w:rPr>
          <w:rFonts w:ascii="Times New Roman" w:hAnsi="Times New Roman" w:cs="Times New Roman"/>
          <w:color w:val="000000"/>
        </w:rPr>
      </w:pPr>
      <w:bookmarkStart w:id="14" w:name="_Toc231264579"/>
      <w:r w:rsidRPr="00935488">
        <w:rPr>
          <w:rFonts w:ascii="Times New Roman" w:hAnsi="Times New Roman" w:cs="Times New Roman"/>
          <w:color w:val="000000"/>
        </w:rPr>
        <w:t>3.4.1 Machine Learning Algorithms</w:t>
      </w:r>
      <w:bookmarkEnd w:id="14"/>
    </w:p>
    <w:p w14:paraId="4D9E015A" w14:textId="77777777" w:rsidR="00266909" w:rsidRDefault="00927C5D">
      <w:pPr>
        <w:spacing w:after="120" w:line="360" w:lineRule="auto"/>
        <w:ind w:firstLine="403"/>
        <w:jc w:val="both"/>
      </w:pPr>
      <w:r>
        <w:t>Three supervised classifiers were selected, each appropriate to one prediction task and each representative of a different model family widely used in operational ERP analytics:</w:t>
      </w:r>
    </w:p>
    <w:p w14:paraId="41A6A6CC" w14:textId="7274A0E1" w:rsidR="00266909" w:rsidRDefault="00927C5D">
      <w:pPr>
        <w:pStyle w:val="ListBullet"/>
        <w:spacing w:after="120"/>
      </w:pPr>
      <w:r>
        <w:t>Late Delivery Risk Gradient Boosting Machine (GBM).</w:t>
      </w:r>
    </w:p>
    <w:p w14:paraId="3159B66E" w14:textId="77777777" w:rsidR="00266909" w:rsidRDefault="00927C5D">
      <w:pPr>
        <w:spacing w:after="120" w:line="360" w:lineRule="auto"/>
        <w:ind w:firstLine="403"/>
        <w:jc w:val="both"/>
      </w:pPr>
      <w:r>
        <w:t>Implemented via scikit-</w:t>
      </w:r>
      <w:proofErr w:type="spellStart"/>
      <w:r>
        <w:t>learn's</w:t>
      </w:r>
      <w:proofErr w:type="spellEnd"/>
      <w:r>
        <w:t xml:space="preserve"> </w:t>
      </w:r>
      <w:proofErr w:type="spellStart"/>
      <w:r>
        <w:t>GradientBoostingClassifier</w:t>
      </w:r>
      <w:proofErr w:type="spellEnd"/>
      <w:r>
        <w:t xml:space="preserve"> with </w:t>
      </w:r>
      <w:proofErr w:type="spellStart"/>
      <w:r>
        <w:t>n_estimators</w:t>
      </w:r>
      <w:proofErr w:type="spellEnd"/>
      <w:r>
        <w:t xml:space="preserve"> = 100, </w:t>
      </w:r>
      <w:proofErr w:type="spellStart"/>
      <w:r>
        <w:t>max_depth</w:t>
      </w:r>
      <w:proofErr w:type="spellEnd"/>
      <w:r>
        <w:t xml:space="preserve"> = 3, </w:t>
      </w:r>
      <w:proofErr w:type="spellStart"/>
      <w:r>
        <w:t>learning_rate</w:t>
      </w:r>
      <w:proofErr w:type="spellEnd"/>
      <w:r>
        <w:t xml:space="preserve"> = 0.1, and the default deviance loss. GBMs were </w:t>
      </w:r>
      <w:r>
        <w:lastRenderedPageBreak/>
        <w:t xml:space="preserve">selected because </w:t>
      </w:r>
      <w:proofErr w:type="gramStart"/>
      <w:r>
        <w:t>tree</w:t>
      </w:r>
      <w:proofErr w:type="gramEnd"/>
      <w:r>
        <w:t>-ensemble methods are the de facto industry standard for tabular financial classification, and because their structure is directly compatible with SHAP's polynomial-time</w:t>
      </w:r>
    </w:p>
    <w:p w14:paraId="59B85707" w14:textId="77777777" w:rsidR="00266909" w:rsidRDefault="00927C5D">
      <w:pPr>
        <w:spacing w:after="120" w:line="360" w:lineRule="auto"/>
        <w:ind w:firstLine="403"/>
        <w:jc w:val="both"/>
      </w:pPr>
      <w:proofErr w:type="spellStart"/>
      <w:r>
        <w:t>TreeExplainer</w:t>
      </w:r>
      <w:proofErr w:type="spellEnd"/>
      <w:r>
        <w:t>.</w:t>
      </w:r>
    </w:p>
    <w:p w14:paraId="0FEF82CF" w14:textId="7495DC7A" w:rsidR="00266909" w:rsidRDefault="00927C5D">
      <w:pPr>
        <w:pStyle w:val="ListBullet"/>
        <w:spacing w:after="120"/>
      </w:pPr>
      <w:r>
        <w:t>Lead Scoring Gradient Boosting Machine (GBM).</w:t>
      </w:r>
    </w:p>
    <w:p w14:paraId="7279FBD0" w14:textId="77777777" w:rsidR="00266909" w:rsidRDefault="00927C5D">
      <w:pPr>
        <w:spacing w:after="120" w:line="360" w:lineRule="auto"/>
        <w:ind w:firstLine="403"/>
        <w:jc w:val="both"/>
      </w:pPr>
      <w:r>
        <w:t>Implemented via scikit-</w:t>
      </w:r>
      <w:proofErr w:type="spellStart"/>
      <w:r>
        <w:t>learn's</w:t>
      </w:r>
      <w:proofErr w:type="spellEnd"/>
      <w:r>
        <w:t xml:space="preserve"> </w:t>
      </w:r>
      <w:proofErr w:type="spellStart"/>
      <w:r>
        <w:t>GradientBoostingClassifier</w:t>
      </w:r>
      <w:proofErr w:type="spellEnd"/>
      <w:r>
        <w:t xml:space="preserve"> with </w:t>
      </w:r>
      <w:proofErr w:type="spellStart"/>
      <w:r>
        <w:t>n_estimators</w:t>
      </w:r>
      <w:proofErr w:type="spellEnd"/>
      <w:r>
        <w:t xml:space="preserve"> = 200, </w:t>
      </w:r>
      <w:proofErr w:type="spellStart"/>
      <w:r>
        <w:t>max_depth</w:t>
      </w:r>
      <w:proofErr w:type="spellEnd"/>
      <w:r>
        <w:t xml:space="preserve"> = 3, </w:t>
      </w:r>
      <w:proofErr w:type="spellStart"/>
      <w:r>
        <w:t>learning_rate</w:t>
      </w:r>
      <w:proofErr w:type="spellEnd"/>
      <w:r>
        <w:t xml:space="preserv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w:t>
      </w:r>
      <w:proofErr w:type="gramStart"/>
      <w:r>
        <w:t>in order to</w:t>
      </w:r>
      <w:proofErr w:type="gramEnd"/>
      <w:r>
        <w:t xml:space="preserve"> keep the algorithmic surface invariant across tasks and thereby strengthen the architectural-pattern claim.</w:t>
      </w:r>
    </w:p>
    <w:p w14:paraId="334DABF4" w14:textId="3457D205" w:rsidR="00266909" w:rsidRDefault="00927C5D" w:rsidP="004E06FC">
      <w:pPr>
        <w:pStyle w:val="ListBullet"/>
        <w:spacing w:after="120"/>
        <w:jc w:val="both"/>
      </w:pPr>
      <w:r>
        <w:t>Employee Attrition Random Forest. Implemented via</w:t>
      </w:r>
      <w:r w:rsidR="00E2083D">
        <w:t xml:space="preserve"> </w:t>
      </w:r>
      <w:r>
        <w:t>scikit-</w:t>
      </w:r>
      <w:proofErr w:type="spellStart"/>
      <w:r>
        <w:t>learn's</w:t>
      </w:r>
      <w:proofErr w:type="spellEnd"/>
      <w:r>
        <w:t xml:space="preserve"> </w:t>
      </w:r>
      <w:proofErr w:type="spellStart"/>
      <w:r>
        <w:t>RandomForestClassifier</w:t>
      </w:r>
      <w:proofErr w:type="spellEnd"/>
      <w:r>
        <w:t xml:space="preserve"> with </w:t>
      </w:r>
      <w:proofErr w:type="spellStart"/>
      <w:r>
        <w:t>n_estimators</w:t>
      </w:r>
      <w:proofErr w:type="spellEnd"/>
      <w:r>
        <w:t xml:space="preserve"> = 200, </w:t>
      </w:r>
      <w:proofErr w:type="spellStart"/>
      <w:r>
        <w:t>max_depth</w:t>
      </w:r>
      <w:proofErr w:type="spellEnd"/>
      <w:r>
        <w:t xml:space="preserve"> = None,</w:t>
      </w:r>
      <w:r w:rsidR="00E2083D">
        <w:t xml:space="preserve"> </w:t>
      </w:r>
      <w:proofErr w:type="spellStart"/>
      <w:r>
        <w:t>class_weight</w:t>
      </w:r>
      <w:proofErr w:type="spellEnd"/>
      <w:r>
        <w:t xml:space="preserve"> = "balanced", and </w:t>
      </w:r>
      <w:proofErr w:type="spellStart"/>
      <w:r>
        <w:t>random_state</w:t>
      </w:r>
      <w:proofErr w:type="spellEnd"/>
      <w:r>
        <w:t xml:space="preserve"> = 42. Random forests were chosen for their robustness on small-to-medium tabular HR datasets, where the IBM corpus </w:t>
      </w:r>
      <w:proofErr w:type="gramStart"/>
      <w:r>
        <w:t>is itself</w:t>
      </w:r>
      <w:proofErr w:type="gramEnd"/>
      <w:r>
        <w:t xml:space="preserve"> only 1,470 rows.</w:t>
      </w:r>
      <w:r w:rsidR="00DD0721">
        <w:t xml:space="preserve"> </w:t>
      </w:r>
      <w:r>
        <w:t>For each prediction task, an identical algorithm was retrained from scratch on each of the five tenant partitions, producing five independent fitted models per task. All randomness was controlled via SEED = 42 to guarantee bit-level reproducibility.</w:t>
      </w:r>
    </w:p>
    <w:p w14:paraId="45CA8DC0" w14:textId="1B37BEF4" w:rsidR="00266909" w:rsidRPr="00935488" w:rsidRDefault="00935488" w:rsidP="00935488">
      <w:pPr>
        <w:pStyle w:val="Heading3"/>
        <w:spacing w:after="120"/>
        <w:rPr>
          <w:rFonts w:ascii="Times New Roman" w:hAnsi="Times New Roman" w:cs="Times New Roman"/>
          <w:color w:val="000000"/>
        </w:rPr>
      </w:pPr>
      <w:bookmarkStart w:id="15" w:name="_Toc231264580"/>
      <w:r w:rsidRPr="00935488">
        <w:rPr>
          <w:rFonts w:ascii="Times New Roman" w:hAnsi="Times New Roman" w:cs="Times New Roman"/>
          <w:color w:val="000000"/>
        </w:rPr>
        <w:t>3.4.2 Explainable AI (XAI) Integration</w:t>
      </w:r>
      <w:bookmarkEnd w:id="15"/>
    </w:p>
    <w:p w14:paraId="06ACDDFD" w14:textId="77777777" w:rsidR="00266909" w:rsidRDefault="00927C5D">
      <w:pPr>
        <w:spacing w:after="120" w:line="360" w:lineRule="auto"/>
        <w:ind w:firstLine="403"/>
        <w:jc w:val="both"/>
      </w:pPr>
      <w:r>
        <w:t>After fitting, each per-tenant model was subjected to a uniform post-hoc XAI pipeline:</w:t>
      </w:r>
    </w:p>
    <w:p w14:paraId="06AEFD27" w14:textId="11A7868F" w:rsidR="00266909" w:rsidRDefault="00927C5D" w:rsidP="004E06FC">
      <w:pPr>
        <w:pStyle w:val="ListBullet"/>
        <w:spacing w:after="120" w:line="360" w:lineRule="auto"/>
        <w:jc w:val="both"/>
      </w:pPr>
      <w:r>
        <w:t>SHAP attribution. For the tree-based models</w:t>
      </w:r>
      <w:r w:rsidR="00DD0721">
        <w:t xml:space="preserve"> </w:t>
      </w:r>
      <w:r>
        <w:t>(GBM, Random Forest), SHAP values were computed via the polynomial-time</w:t>
      </w:r>
      <w:r w:rsidR="00DD0721">
        <w:t xml:space="preserve"> </w:t>
      </w:r>
      <w:proofErr w:type="spellStart"/>
      <w:proofErr w:type="gramStart"/>
      <w:r>
        <w:t>shap.TreeExplainer</w:t>
      </w:r>
      <w:proofErr w:type="spellEnd"/>
      <w:proofErr w:type="gramEnd"/>
      <w:r>
        <w:t xml:space="preserve">, yielding both per-instance attribution vectors and the global mean-absolute-SHAP feature-importance ranking. For the Logistic Regression model, </w:t>
      </w:r>
      <w:proofErr w:type="spellStart"/>
      <w:proofErr w:type="gramStart"/>
      <w:r>
        <w:t>shap.LinearExplainer</w:t>
      </w:r>
      <w:proofErr w:type="spellEnd"/>
      <w:proofErr w:type="gramEnd"/>
      <w:r>
        <w:t xml:space="preserve"> was used with the matching background distribution.</w:t>
      </w:r>
    </w:p>
    <w:p w14:paraId="53DD4442" w14:textId="476A6030" w:rsidR="00266909" w:rsidRDefault="00927C5D" w:rsidP="004E06FC">
      <w:pPr>
        <w:pStyle w:val="ListBullet"/>
        <w:spacing w:after="120" w:line="360" w:lineRule="auto"/>
        <w:jc w:val="both"/>
      </w:pPr>
      <w:r>
        <w:lastRenderedPageBreak/>
        <w:t>LIME surrogate explanation. For every model, local</w:t>
      </w:r>
      <w:r w:rsidR="00DD0721">
        <w:t xml:space="preserve"> </w:t>
      </w:r>
      <w:r>
        <w:t>explanations were generated</w:t>
      </w:r>
      <w:r w:rsidR="00DD0721">
        <w:t xml:space="preserve"> </w:t>
      </w:r>
      <w:r>
        <w:t>using</w:t>
      </w:r>
      <w:r w:rsidR="00DD0721">
        <w:t xml:space="preserve"> </w:t>
      </w:r>
      <w:proofErr w:type="spellStart"/>
      <w:proofErr w:type="gramStart"/>
      <w:r>
        <w:t>lime.lime</w:t>
      </w:r>
      <w:proofErr w:type="gramEnd"/>
      <w:r>
        <w:t>_</w:t>
      </w:r>
      <w:proofErr w:type="gramStart"/>
      <w:r>
        <w:t>tabular.LimeTabularExplainer</w:t>
      </w:r>
      <w:proofErr w:type="spellEnd"/>
      <w:proofErr w:type="gramEnd"/>
      <w:r>
        <w:t xml:space="preserve"> configured with</w:t>
      </w:r>
      <w:r w:rsidR="00DD0721">
        <w:t xml:space="preserve"> </w:t>
      </w:r>
      <w:r>
        <w:t xml:space="preserve">mode="classification", 5,000 perturbation samples per explanation, and a Gaussian kernel width of M where M is the number of features. The </w:t>
      </w:r>
      <w:proofErr w:type="gramStart"/>
      <w:r>
        <w:t>top-5</w:t>
      </w:r>
      <w:proofErr w:type="gramEnd"/>
      <w:r>
        <w:t xml:space="preserve"> features per instance were retained for downstream stability analysis.</w:t>
      </w:r>
    </w:p>
    <w:p w14:paraId="441D3D12" w14:textId="465BF311" w:rsidR="00266909" w:rsidRDefault="00927C5D" w:rsidP="004E06FC">
      <w:pPr>
        <w:pStyle w:val="ListBullet"/>
        <w:spacing w:after="120" w:line="360" w:lineRule="auto"/>
        <w:jc w:val="both"/>
      </w:pPr>
      <w:r>
        <w:t>Sampling for evaluation. Because LIME is stochastic,</w:t>
      </w:r>
      <w:r w:rsidR="00DD0721">
        <w:t xml:space="preserve"> </w:t>
      </w:r>
      <w:r>
        <w:t xml:space="preserve">every LIME-based metric </w:t>
      </w:r>
      <w:proofErr w:type="gramStart"/>
      <w:r>
        <w:t>was averaged</w:t>
      </w:r>
      <w:proofErr w:type="gramEnd"/>
      <w:r>
        <w:t xml:space="preserve"> over 50 independent runs per instance, and SHAP values were always computed on the full shared global hold-out set so that cross-tenant comparisons referred to identical inputs.</w:t>
      </w:r>
    </w:p>
    <w:p w14:paraId="30BCAC76" w14:textId="77777777" w:rsidR="00266909" w:rsidRDefault="00927C5D" w:rsidP="004E06FC">
      <w:pPr>
        <w:spacing w:after="120" w:line="360" w:lineRule="auto"/>
        <w:ind w:firstLine="403"/>
        <w:jc w:val="both"/>
      </w:pPr>
      <w:r>
        <w:t xml:space="preserve">This pipeline yields, for each (task, tenant) combination, a paired bundle consisting of the trained model, the global SHAP feature-importance ranking, the per-instance SHAP attributions on the hold-out set, and the LIME </w:t>
      </w:r>
      <w:proofErr w:type="gramStart"/>
      <w:r>
        <w:t>top-5</w:t>
      </w:r>
      <w:proofErr w:type="gramEnd"/>
      <w:r>
        <w:t xml:space="preserve"> selections together with their stability statistics.</w:t>
      </w:r>
    </w:p>
    <w:p w14:paraId="51310B4D" w14:textId="7ABCAAA2" w:rsidR="00266909" w:rsidRPr="00935488" w:rsidRDefault="00935488" w:rsidP="00935488">
      <w:pPr>
        <w:pStyle w:val="Heading3"/>
        <w:spacing w:after="120"/>
        <w:rPr>
          <w:rFonts w:ascii="Times New Roman" w:hAnsi="Times New Roman" w:cs="Times New Roman"/>
          <w:color w:val="000000"/>
        </w:rPr>
      </w:pPr>
      <w:bookmarkStart w:id="16" w:name="_Toc231264581"/>
      <w:r w:rsidRPr="00935488">
        <w:rPr>
          <w:rFonts w:ascii="Times New Roman" w:hAnsi="Times New Roman" w:cs="Times New Roman"/>
          <w:color w:val="000000"/>
        </w:rPr>
        <w:t>3.4.3 Maturity-Aware AI Routing Architecture</w:t>
      </w:r>
      <w:bookmarkEnd w:id="16"/>
    </w:p>
    <w:p w14:paraId="373A4CFB" w14:textId="55142CED" w:rsidR="00266909" w:rsidRDefault="00927C5D" w:rsidP="004B6798">
      <w:pPr>
        <w:spacing w:after="120" w:line="360" w:lineRule="auto"/>
        <w:ind w:firstLine="403"/>
        <w:jc w:val="both"/>
      </w:pPr>
      <w:r>
        <w:t>The architectural contribution of the methodology is the</w:t>
      </w:r>
      <w:r w:rsidR="004B6798">
        <w:t xml:space="preserve"> </w:t>
      </w:r>
      <w:r>
        <w:t>Maturity-Aware AI Routing gate, which conditions the choice of explanation strategy on the data maturity of the requesting tenant. The gate was designed around three engineering principles: it must be</w:t>
      </w:r>
      <w:r w:rsidR="004B6798">
        <w:t xml:space="preserve"> </w:t>
      </w:r>
      <w:r>
        <w:t>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w:t>
      </w:r>
    </w:p>
    <w:p w14:paraId="52A801F0" w14:textId="41E6984D" w:rsidR="00266909" w:rsidRDefault="006F1DEE">
      <w:pPr>
        <w:spacing w:after="120" w:line="360" w:lineRule="auto"/>
        <w:ind w:firstLine="403"/>
        <w:jc w:val="both"/>
      </w:pPr>
      <w:r>
        <w:t xml:space="preserve">The routing rule was </w:t>
      </w:r>
      <w:proofErr w:type="spellStart"/>
      <w:r>
        <w:t>formalised</w:t>
      </w:r>
      <w:proofErr w:type="spellEnd"/>
      <w:r>
        <w:t xml:space="preserve"> as follows. Let </w:t>
      </w:r>
      <w:proofErr w:type="spellStart"/>
      <w:r>
        <w:t>n_t</w:t>
      </w:r>
      <w:proofErr w:type="spellEnd"/>
      <w:r>
        <w:t xml:space="preserve"> denote the number of </w:t>
      </w:r>
      <w:proofErr w:type="gramStart"/>
      <w:r>
        <w:t>historically-recorded</w:t>
      </w:r>
      <w:proofErr w:type="gramEnd"/>
      <w:r>
        <w:t xml:space="preserve"> operational records for tenant t (in the Late Delivery Risk case, the count of invoices with status in {paid, overdue, partial}</w:t>
      </w:r>
      <w:proofErr w:type="gramStart"/>
      <w:r>
        <w:t>), and</w:t>
      </w:r>
      <w:proofErr w:type="gramEnd"/>
      <w:r>
        <w:t xml:space="preserve"> let τ denote the </w:t>
      </w:r>
      <w:proofErr w:type="gramStart"/>
      <w:r>
        <w:t>empirically-derived</w:t>
      </w:r>
      <w:proofErr w:type="gramEnd"/>
      <w:r>
        <w:t xml:space="preserve"> cold-start threshold. The architectural gate is then:</w:t>
      </w:r>
    </w:p>
    <w:p w14:paraId="47F8DCAB" w14:textId="77777777" w:rsidR="004B6798" w:rsidRPr="004B6798" w:rsidRDefault="004B6798">
      <w:pPr>
        <w:spacing w:after="120" w:line="360" w:lineRule="auto"/>
        <w:ind w:firstLine="403"/>
        <w:jc w:val="both"/>
      </w:pPr>
    </w:p>
    <w:p w14:paraId="118A622B" w14:textId="530D70E0" w:rsidR="004B6798" w:rsidRDefault="004B6798">
      <w:pPr>
        <w:spacing w:after="120" w:line="360" w:lineRule="auto"/>
        <w:ind w:firstLine="403"/>
        <w:jc w:val="both"/>
      </w:pPr>
      <m:oMathPara>
        <m:oMath>
          <m:r>
            <w:rPr>
              <w:rFonts w:ascii="Cambria Math" w:hAnsi="Cambria Math"/>
            </w:rPr>
            <m:t>explain(t, x) =</m:t>
          </m:r>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GlobalHeuristic()</m:t>
                  </m:r>
                  <m:r>
                    <w:rPr>
                      <w:rFonts w:ascii="Cambria Math" w:hAnsi="Cambria Math"/>
                    </w:rPr>
                    <m:t xml:space="preserve">,  &amp; if </m:t>
                  </m:r>
                  <m:r>
                    <m:rPr>
                      <m:sty m:val="p"/>
                    </m:rPr>
                    <w:rPr>
                      <w:rFonts w:ascii="Cambria Math" w:hAnsi="Cambria Math"/>
                    </w:rPr>
                    <m:t>nₜ ≤ τ</m:t>
                  </m:r>
                </m:e>
                <m:e>
                  <m:r>
                    <m:rPr>
                      <m:sty m:val="p"/>
                    </m:rPr>
                    <w:rPr>
                      <w:rFonts w:ascii="Cambria Math" w:hAnsi="Cambria Math"/>
                    </w:rPr>
                    <m:t>LocalShapLime(t, x)</m:t>
                  </m:r>
                  <m:r>
                    <w:rPr>
                      <w:rFonts w:ascii="Cambria Math" w:hAnsi="Cambria Math"/>
                    </w:rPr>
                    <m:t>,  &amp;</m:t>
                  </m:r>
                  <m:r>
                    <m:rPr>
                      <m:sty m:val="p"/>
                    </m:rPr>
                    <w:rPr>
                      <w:rFonts w:ascii="Cambria Math" w:hAnsi="Cambria Math"/>
                    </w:rPr>
                    <m:t>otherwise</m:t>
                  </m:r>
                </m:e>
              </m:eqArr>
            </m:e>
          </m:d>
        </m:oMath>
      </m:oMathPara>
    </w:p>
    <w:p w14:paraId="26E0BE70" w14:textId="77777777" w:rsidR="00DD0721" w:rsidRDefault="00DD0721">
      <w:pPr>
        <w:spacing w:after="120" w:line="360" w:lineRule="auto"/>
        <w:ind w:firstLine="403"/>
        <w:jc w:val="both"/>
      </w:pPr>
    </w:p>
    <w:p w14:paraId="484CDC7D" w14:textId="5088B050" w:rsidR="00266909" w:rsidRDefault="007D6185">
      <w:pPr>
        <w:spacing w:after="120" w:line="360" w:lineRule="auto"/>
        <w:ind w:firstLine="403"/>
        <w:jc w:val="both"/>
      </w:pPr>
      <w:r>
        <w:t xml:space="preserve">The boundary is deliberately inclusive on the cold-start side: a tenant with exactly </w:t>
      </w:r>
      <w:proofErr w:type="spellStart"/>
      <w:r>
        <w:t>n_t</w:t>
      </w:r>
      <w:proofErr w:type="spellEnd"/>
      <w:r>
        <w:t xml:space="preserve"> = τ records is routed to the global heuristic rather than to a local explanation. This reflects the empirical finding (Section 3.5.3) that Tenant C (n = 1,000) already lies below the ρ = 0.70 reliability bound and already exhibits an inflated SHAP variance, and it removes a latent off-by-one ambiguity in the route-decision logic. The equivalent code-side formulation </w:t>
      </w:r>
      <w:proofErr w:type="spellStart"/>
      <w:r>
        <w:t>n_t</w:t>
      </w:r>
      <w:proofErr w:type="spellEnd"/>
      <w:r>
        <w:t xml:space="preserve"> &lt; MIN_LOCAL_EXPLANATION_RECORDS with MIN_LOCAL_EXPLANATION_RECORDS = τ + 1 = 1,001 is logically interchangeable and may be preferred where a strictly-less-</w:t>
      </w:r>
      <w:proofErr w:type="gramStart"/>
      <w:r>
        <w:t>than guard</w:t>
      </w:r>
      <w:proofErr w:type="gramEnd"/>
      <w:r>
        <w:t xml:space="preserve"> is idiomatic.</w:t>
      </w:r>
    </w:p>
    <w:p w14:paraId="47B37077" w14:textId="54CBC523" w:rsidR="00266909" w:rsidRDefault="007D6185">
      <w:pPr>
        <w:spacing w:after="120" w:line="360" w:lineRule="auto"/>
        <w:ind w:firstLine="403"/>
        <w:jc w:val="both"/>
      </w:pPr>
      <w:r>
        <w:t>The threshold τ was not chosen arbitrarily; as detailed in Section 3.5.3 below, it was identified as τ = 1,000 from the empirical fidelity curves derived in the modelling phase. The threshold was encapsulated in the implementation as a class-level constant</w:t>
      </w:r>
    </w:p>
    <w:p w14:paraId="49EE62E4" w14:textId="77777777" w:rsidR="00266909" w:rsidRDefault="00927C5D">
      <w:pPr>
        <w:spacing w:after="120" w:line="360" w:lineRule="auto"/>
        <w:ind w:firstLine="403"/>
        <w:jc w:val="both"/>
      </w:pPr>
      <w:r>
        <w:t>COLD_START_INVOICE_THRESHOLD = 1000 (interpreted under the inclusive boundary above) to allow operational re-tuning without code change. The two branches of the gate correspond, in the implementation, to:</w:t>
      </w:r>
    </w:p>
    <w:p w14:paraId="1EA2946F" w14:textId="73BD6044" w:rsidR="00266909" w:rsidRDefault="00927C5D" w:rsidP="004E06FC">
      <w:pPr>
        <w:pStyle w:val="ListBullet"/>
        <w:spacing w:after="120" w:line="360" w:lineRule="auto"/>
        <w:jc w:val="both"/>
      </w:pPr>
      <w:r>
        <w:t>_</w:t>
      </w:r>
      <w:proofErr w:type="spellStart"/>
      <w:r>
        <w:t>load_global_</w:t>
      </w:r>
      <w:proofErr w:type="gramStart"/>
      <w:r>
        <w:t>heuristic</w:t>
      </w:r>
      <w:proofErr w:type="spellEnd"/>
      <w:r>
        <w:t>(</w:t>
      </w:r>
      <w:proofErr w:type="gramEnd"/>
      <w:r>
        <w:t xml:space="preserve">) a </w:t>
      </w:r>
      <w:proofErr w:type="spellStart"/>
      <w:r>
        <w:t>memoised</w:t>
      </w:r>
      <w:proofErr w:type="spellEnd"/>
      <w:r>
        <w:t xml:space="preserve"> loader that</w:t>
      </w:r>
      <w:r w:rsidR="004E06FC">
        <w:t xml:space="preserve"> </w:t>
      </w:r>
      <w:r>
        <w:t>reads the pre-computed cross-tenant SHAP feature-importance artefact (</w:t>
      </w:r>
      <w:proofErr w:type="spellStart"/>
      <w:r>
        <w:t>cold_start_</w:t>
      </w:r>
      <w:proofErr w:type="gramStart"/>
      <w:r>
        <w:t>heuristic.json</w:t>
      </w:r>
      <w:proofErr w:type="spellEnd"/>
      <w:proofErr w:type="gramEnd"/>
      <w:r>
        <w:t xml:space="preserve">, </w:t>
      </w:r>
      <w:proofErr w:type="gramStart"/>
      <w:r>
        <w:t>see Section</w:t>
      </w:r>
      <w:proofErr w:type="gramEnd"/>
      <w:r>
        <w:t xml:space="preserve"> </w:t>
      </w:r>
      <w:proofErr w:type="spellStart"/>
      <w:r w:rsidR="00E20B71">
        <w:t>Section</w:t>
      </w:r>
      <w:proofErr w:type="spellEnd"/>
      <w:r w:rsidR="00E20B71">
        <w:t xml:space="preserve"> 3.6.3</w:t>
      </w:r>
      <w:r>
        <w:t>) from disk and returns it as a structured explanation payload;</w:t>
      </w:r>
    </w:p>
    <w:p w14:paraId="517B1236" w14:textId="1AFCC331" w:rsidR="00266909" w:rsidRDefault="00927C5D" w:rsidP="004E06FC">
      <w:pPr>
        <w:pStyle w:val="ListBullet"/>
        <w:spacing w:after="120" w:line="360" w:lineRule="auto"/>
        <w:jc w:val="both"/>
      </w:pPr>
      <w:proofErr w:type="gramStart"/>
      <w:r>
        <w:t>predict()  the</w:t>
      </w:r>
      <w:proofErr w:type="gramEnd"/>
      <w:r>
        <w:t xml:space="preserve"> existing per-tenant ML inference and</w:t>
      </w:r>
      <w:r w:rsidR="004E06FC">
        <w:t xml:space="preserve"> </w:t>
      </w:r>
      <w:r>
        <w:t>SHAP/LIME explanation routine, left fully unchanged.</w:t>
      </w:r>
    </w:p>
    <w:p w14:paraId="58F3FAF6" w14:textId="3E0AEE4C" w:rsidR="00266909" w:rsidRDefault="00927C5D" w:rsidP="004E06FC">
      <w:pPr>
        <w:spacing w:after="120" w:line="360" w:lineRule="auto"/>
        <w:ind w:firstLine="360"/>
        <w:jc w:val="both"/>
      </w:pPr>
      <w:r>
        <w:t>The gate itself is exposed as a new public method,</w:t>
      </w:r>
      <w:r w:rsidR="004E06FC">
        <w:t xml:space="preserve"> </w:t>
      </w:r>
      <w:proofErr w:type="spellStart"/>
      <w:r>
        <w:t>predict_or_heuristic</w:t>
      </w:r>
      <w:proofErr w:type="spellEnd"/>
      <w:r>
        <w:t xml:space="preserve">(invoice), which </w:t>
      </w:r>
      <w:proofErr w:type="spellStart"/>
      <w:r>
        <w:t>inspects_invoice_</w:t>
      </w:r>
      <w:proofErr w:type="gramStart"/>
      <w:r>
        <w:t>count</w:t>
      </w:r>
      <w:proofErr w:type="spellEnd"/>
      <w:r>
        <w:t>(</w:t>
      </w:r>
      <w:proofErr w:type="gramEnd"/>
      <w:r>
        <w:t>) and dispatches accordingly. The return payload of both branches conforms to a single response schema (mode, threshold, count, explanation), so that downstream consumers can be agnostic to which branch was taken while still being able to surface the routing decision to the end user.</w:t>
      </w:r>
    </w:p>
    <w:p w14:paraId="22EF8670" w14:textId="77777777" w:rsidR="00266909" w:rsidRDefault="00927C5D">
      <w:pPr>
        <w:spacing w:after="120"/>
        <w:jc w:val="center"/>
      </w:pPr>
      <w:r>
        <w:rPr>
          <w:i/>
        </w:rPr>
        <w:t xml:space="preserve">Maturity-Aware AI Routing architectural gate. The </w:t>
      </w:r>
      <w:proofErr w:type="spellStart"/>
      <w:r>
        <w:rPr>
          <w:i/>
        </w:rPr>
        <w:t>LatePaymentPredictor.predict_or_</w:t>
      </w:r>
      <w:proofErr w:type="gramStart"/>
      <w:r>
        <w:rPr>
          <w:i/>
        </w:rPr>
        <w:t>heuristic</w:t>
      </w:r>
      <w:proofErr w:type="spellEnd"/>
      <w:r>
        <w:rPr>
          <w:i/>
        </w:rPr>
        <w:t>(</w:t>
      </w:r>
      <w:proofErr w:type="gramEnd"/>
      <w:r>
        <w:rPr>
          <w:i/>
        </w:rPr>
        <w:t>)</w:t>
      </w:r>
    </w:p>
    <w:p w14:paraId="5A052CB6" w14:textId="323F984C" w:rsidR="00266909" w:rsidRPr="00935488" w:rsidRDefault="00935488" w:rsidP="00935488">
      <w:pPr>
        <w:pStyle w:val="Heading2"/>
        <w:spacing w:after="120"/>
        <w:rPr>
          <w:rFonts w:ascii="Times New Roman" w:hAnsi="Times New Roman" w:cs="Times New Roman"/>
          <w:color w:val="000000"/>
          <w:sz w:val="24"/>
        </w:rPr>
      </w:pPr>
      <w:bookmarkStart w:id="17" w:name="_Toc231264582"/>
      <w:r w:rsidRPr="00935488">
        <w:rPr>
          <w:rFonts w:ascii="Times New Roman" w:hAnsi="Times New Roman" w:cs="Times New Roman"/>
          <w:color w:val="000000"/>
          <w:sz w:val="24"/>
        </w:rPr>
        <w:lastRenderedPageBreak/>
        <w:t>3.5 Evaluation</w:t>
      </w:r>
      <w:bookmarkEnd w:id="17"/>
    </w:p>
    <w:p w14:paraId="13911A89" w14:textId="5B05189E" w:rsidR="00266909" w:rsidRPr="00935488" w:rsidRDefault="00935488" w:rsidP="00935488">
      <w:pPr>
        <w:pStyle w:val="Heading3"/>
        <w:spacing w:after="120"/>
        <w:rPr>
          <w:rFonts w:ascii="Times New Roman" w:hAnsi="Times New Roman" w:cs="Times New Roman"/>
          <w:color w:val="000000"/>
        </w:rPr>
      </w:pPr>
      <w:bookmarkStart w:id="18" w:name="_Toc231264583"/>
      <w:r w:rsidRPr="00935488">
        <w:rPr>
          <w:rFonts w:ascii="Times New Roman" w:hAnsi="Times New Roman" w:cs="Times New Roman"/>
          <w:color w:val="000000"/>
        </w:rPr>
        <w:t>3.5.1 Predictive Performance Metrics</w:t>
      </w:r>
      <w:bookmarkEnd w:id="18"/>
    </w:p>
    <w:p w14:paraId="40B3BA22" w14:textId="77777777" w:rsidR="00266909" w:rsidRDefault="00927C5D">
      <w:pPr>
        <w:spacing w:after="120" w:line="360" w:lineRule="auto"/>
        <w:ind w:firstLine="403"/>
        <w:jc w:val="both"/>
      </w:pPr>
      <w:r>
        <w:t>To establish a baseline against which the explanation-fidelity findings could be interpreted, the standard panel of predictive metrics was computed for each (task, tenant) combination on the shared global hold-out set:</w:t>
      </w:r>
    </w:p>
    <w:p w14:paraId="49F88550" w14:textId="77777777" w:rsidR="00266909" w:rsidRDefault="00927C5D">
      <w:pPr>
        <w:pStyle w:val="ListBullet"/>
        <w:spacing w:after="120"/>
      </w:pPr>
      <w:r>
        <w:t>AUC-ROC --- the area under the receiver-operating-</w:t>
      </w:r>
    </w:p>
    <w:p w14:paraId="5E1F3B88" w14:textId="77777777" w:rsidR="00266909" w:rsidRDefault="00927C5D">
      <w:pPr>
        <w:spacing w:after="120" w:line="360" w:lineRule="auto"/>
        <w:ind w:firstLine="403"/>
        <w:jc w:val="both"/>
      </w:pPr>
      <w:r>
        <w:t>characteristic curve, which is robust to class imbalance and serves as the primary headline metric of predictive model quality.</w:t>
      </w:r>
    </w:p>
    <w:p w14:paraId="6129CB99" w14:textId="191D22E4" w:rsidR="00266909" w:rsidRDefault="00927C5D" w:rsidP="004E06FC">
      <w:pPr>
        <w:pStyle w:val="ListBullet"/>
        <w:spacing w:after="120" w:line="360" w:lineRule="auto"/>
        <w:jc w:val="both"/>
      </w:pPr>
      <w:r>
        <w:t>F1-Score --- the harmonic mean of precision and recall on</w:t>
      </w:r>
      <w:r w:rsidR="00DD0721">
        <w:t xml:space="preserve"> </w:t>
      </w:r>
      <w:r>
        <w:t xml:space="preserve">the positive class, computed at the default 0.5 probability threshold; </w:t>
      </w:r>
      <w:proofErr w:type="gramStart"/>
      <w:r>
        <w:t>this metric captures</w:t>
      </w:r>
      <w:proofErr w:type="gramEnd"/>
      <w:r>
        <w:t xml:space="preserve"> whether the model produces actionable, threshold-crossed predictions at all.</w:t>
      </w:r>
    </w:p>
    <w:p w14:paraId="61D11DD5" w14:textId="79F1F934" w:rsidR="00266909" w:rsidRDefault="00927C5D" w:rsidP="004E06FC">
      <w:pPr>
        <w:pStyle w:val="ListBullet"/>
        <w:spacing w:after="120" w:line="360" w:lineRule="auto"/>
        <w:jc w:val="both"/>
      </w:pPr>
      <w:r>
        <w:t>Brier score --- recorded as an auxiliary calibration</w:t>
      </w:r>
      <w:r w:rsidR="004E06FC">
        <w:t xml:space="preserve"> </w:t>
      </w:r>
      <w:r>
        <w:t>diagnostic.</w:t>
      </w:r>
    </w:p>
    <w:p w14:paraId="2E726D3D" w14:textId="77777777" w:rsidR="00266909" w:rsidRDefault="00927C5D">
      <w:pPr>
        <w:spacing w:after="120" w:line="360" w:lineRule="auto"/>
        <w:ind w:firstLine="403"/>
        <w:jc w:val="both"/>
      </w:pPr>
      <w:r>
        <w:t xml:space="preserve">These metrics are necessary but not sufficient: a high AUC indicates that the model has learned a usable </w:t>
      </w:r>
      <w:proofErr w:type="gramStart"/>
      <w:r>
        <w:t>signal, but</w:t>
      </w:r>
      <w:proofErr w:type="gramEnd"/>
      <w:r>
        <w:t xml:space="preserve"> says nothing about whether the SHAP or LIME explanation of that signal is faithful. The novel contribution of the evaluation methodology lies in the explanation-fidelity metrics introduced next.</w:t>
      </w:r>
    </w:p>
    <w:p w14:paraId="76D59679" w14:textId="4AC1A7B3" w:rsidR="00266909" w:rsidRPr="00935488" w:rsidRDefault="00935488" w:rsidP="00935488">
      <w:pPr>
        <w:pStyle w:val="Heading3"/>
        <w:spacing w:after="120"/>
        <w:rPr>
          <w:rFonts w:ascii="Times New Roman" w:hAnsi="Times New Roman" w:cs="Times New Roman"/>
          <w:color w:val="000000"/>
        </w:rPr>
      </w:pPr>
      <w:bookmarkStart w:id="19" w:name="_Toc231264584"/>
      <w:r w:rsidRPr="00935488">
        <w:rPr>
          <w:rFonts w:ascii="Times New Roman" w:hAnsi="Times New Roman" w:cs="Times New Roman"/>
          <w:color w:val="000000"/>
        </w:rPr>
        <w:t>3.5.2 Explanation Fidelity Metrics</w:t>
      </w:r>
      <w:bookmarkEnd w:id="19"/>
    </w:p>
    <w:p w14:paraId="791636B6" w14:textId="07188501" w:rsidR="00266909" w:rsidRDefault="00927C5D" w:rsidP="00DD0721">
      <w:pPr>
        <w:spacing w:after="120" w:line="360" w:lineRule="auto"/>
        <w:ind w:firstLine="403"/>
        <w:jc w:val="both"/>
      </w:pPr>
      <w:r>
        <w:t>Three complementary metrics were used to convert the abstract notion of</w:t>
      </w:r>
      <w:r w:rsidR="00DD0721">
        <w:t xml:space="preserve"> </w:t>
      </w:r>
      <w:r>
        <w:t>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14:paraId="643DDD20" w14:textId="18FEA8C4" w:rsidR="00266909" w:rsidRDefault="007D6185">
      <w:pPr>
        <w:spacing w:after="120" w:line="360" w:lineRule="auto"/>
        <w:ind w:firstLine="403"/>
        <w:jc w:val="both"/>
      </w:pPr>
      <w:r>
        <w:rPr>
          <w:b/>
        </w:rPr>
        <w:t>Spearman Rank Correlation (</w:t>
      </w:r>
      <w:proofErr w:type="gramStart"/>
      <w:r>
        <w:rPr>
          <w:b/>
        </w:rPr>
        <w:t xml:space="preserve">ρ) </w:t>
      </w:r>
      <w:r w:rsidR="00E64620">
        <w:rPr>
          <w:b/>
        </w:rPr>
        <w:t xml:space="preserve"> </w:t>
      </w:r>
      <w:r>
        <w:rPr>
          <w:b/>
        </w:rPr>
        <w:t xml:space="preserve"> </w:t>
      </w:r>
      <w:proofErr w:type="gramEnd"/>
      <w:r>
        <w:rPr>
          <w:b/>
        </w:rPr>
        <w:t>Baseline Rank Agreement.</w:t>
      </w:r>
    </w:p>
    <w:p w14:paraId="3458FBF4" w14:textId="32CE6C74" w:rsidR="00266909" w:rsidRDefault="007D6185">
      <w:pPr>
        <w:spacing w:after="120" w:line="360" w:lineRule="auto"/>
        <w:ind w:firstLine="403"/>
        <w:jc w:val="both"/>
      </w:pPr>
      <w:r>
        <w:t xml:space="preserve">Let </w:t>
      </w:r>
      <w:proofErr w:type="spellStart"/>
      <w:r>
        <w:t>r^A_i</w:t>
      </w:r>
      <w:proofErr w:type="spellEnd"/>
      <w:r>
        <w:t xml:space="preserve"> denote the rank of feature </w:t>
      </w:r>
      <w:proofErr w:type="spellStart"/>
      <w:r>
        <w:t>i</w:t>
      </w:r>
      <w:proofErr w:type="spellEnd"/>
      <w:r>
        <w:t xml:space="preserve"> in the global mean-absolute- SHAP importance ranking produced by Tenant A's model, and let </w:t>
      </w:r>
      <w:proofErr w:type="spellStart"/>
      <w:r>
        <w:t>r^t_i</w:t>
      </w:r>
      <w:proofErr w:type="spellEnd"/>
      <w:r>
        <w:t xml:space="preserve"> denote the corresponding rank under tenant t B, C, D, E. Defining dᵢ = </w:t>
      </w:r>
      <w:proofErr w:type="spellStart"/>
      <w:r>
        <w:t>r^A_i</w:t>
      </w:r>
      <w:proofErr w:type="spellEnd"/>
      <w:r>
        <w:t xml:space="preserve"> - </w:t>
      </w:r>
      <w:proofErr w:type="spellStart"/>
      <w:r>
        <w:t>r^t_i</w:t>
      </w:r>
      <w:proofErr w:type="spellEnd"/>
      <w:r>
        <w:t>, the Spearman rank correlation between tenant t and the baseline is</w:t>
      </w:r>
    </w:p>
    <w:p w14:paraId="1874DB02" w14:textId="2571D12B" w:rsidR="004B6798" w:rsidRDefault="00000000">
      <w:pPr>
        <w:spacing w:after="120" w:line="360" w:lineRule="auto"/>
        <w:ind w:firstLine="403"/>
        <w:jc w:val="both"/>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t</m:t>
              </m:r>
            </m:sub>
          </m:sSub>
          <m:r>
            <w:rPr>
              <w:rFonts w:ascii="Cambria Math" w:hAnsi="Cambria Math"/>
            </w:rPr>
            <m:t>=1-</m:t>
          </m:r>
          <m:d>
            <m:dPr>
              <m:ctrlPr>
                <w:rPr>
                  <w:rFonts w:ascii="Cambria Math" w:hAnsi="Cambria Math"/>
                </w:rPr>
              </m:ctrlPr>
            </m:dPr>
            <m:e>
              <m:r>
                <w:rPr>
                  <w:rFonts w:ascii="Cambria Math" w:hAnsi="Cambria Math"/>
                </w:rPr>
                <m:t>6</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2</m:t>
                      </m:r>
                    </m:sup>
                  </m:sSubSup>
                  <m:ctrlPr>
                    <w:rPr>
                      <w:rFonts w:ascii="Cambria Math" w:hAnsi="Cambria Math"/>
                      <w:i/>
                    </w:rPr>
                  </m:ctrlPr>
                </m:e>
              </m:nary>
              <m:ctrlPr>
                <w:rPr>
                  <w:rFonts w:ascii="Cambria Math" w:hAnsi="Cambria Math"/>
                  <w:i/>
                </w:rPr>
              </m:ctrlPr>
            </m:e>
          </m:d>
          <m:r>
            <m:rPr>
              <m:lit/>
            </m:rPr>
            <w:rPr>
              <w:rFonts w:ascii="Cambria Math" w:hAnsi="Cambria Math"/>
            </w:rPr>
            <m:t>/</m:t>
          </m:r>
          <m:d>
            <m:dPr>
              <m:ctrlPr>
                <w:rPr>
                  <w:rFonts w:ascii="Cambria Math" w:hAnsi="Cambria Math"/>
                </w:rPr>
              </m:ctrlPr>
            </m:dPr>
            <m:e>
              <m:r>
                <w:rPr>
                  <w:rFonts w:ascii="Cambria Math" w:hAnsi="Cambria Math"/>
                </w:rPr>
                <m:t>n</m:t>
              </m:r>
              <m:d>
                <m:dPr>
                  <m:ctrlPr>
                    <w:rPr>
                      <w:rFonts w:ascii="Cambria Math" w:hAnsi="Cambria Math"/>
                    </w:rPr>
                  </m:ctrlPr>
                </m:d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2</m:t>
                      </m:r>
                    </m:sup>
                  </m:sSup>
                  <m:r>
                    <w:rPr>
                      <w:rFonts w:ascii="Cambria Math" w:hAnsi="Cambria Math"/>
                    </w:rPr>
                    <m:t>-1</m:t>
                  </m:r>
                  <m:ctrlPr>
                    <w:rPr>
                      <w:rFonts w:ascii="Cambria Math" w:hAnsi="Cambria Math"/>
                      <w:i/>
                    </w:rPr>
                  </m:ctrlPr>
                </m:e>
              </m:d>
              <m:ctrlPr>
                <w:rPr>
                  <w:rFonts w:ascii="Cambria Math" w:hAnsi="Cambria Math"/>
                  <w:i/>
                </w:rPr>
              </m:ctrlPr>
            </m:e>
          </m:d>
        </m:oMath>
      </m:oMathPara>
    </w:p>
    <w:p w14:paraId="5F0117A0" w14:textId="7DBB1813" w:rsidR="00266909" w:rsidRDefault="00AF5233">
      <w:pPr>
        <w:spacing w:after="120" w:line="360" w:lineRule="auto"/>
        <w:ind w:firstLine="403"/>
        <w:jc w:val="both"/>
      </w:pPr>
      <w:r>
        <w:t xml:space="preserve">where n is the number of features. By construction, </w:t>
      </w:r>
      <w:proofErr w:type="spellStart"/>
      <w:r>
        <w:t>ρ_A</w:t>
      </w:r>
      <w:proofErr w:type="spellEnd"/>
      <w:r>
        <w:t xml:space="preserve"> = 1. A value </w:t>
      </w:r>
      <w:proofErr w:type="spellStart"/>
      <w:r>
        <w:t>ρ_t</w:t>
      </w:r>
      <w:proofErr w:type="spellEnd"/>
      <w:r>
        <w:t xml:space="preserve"> ≤ 0.70 is treated, following the explanation-stability literature, as the operational lower bound of acceptable ranking agreement; </w:t>
      </w:r>
      <w:proofErr w:type="spellStart"/>
      <w:r>
        <w:t>ρ_t</w:t>
      </w:r>
      <w:proofErr w:type="spellEnd"/>
      <w:r>
        <w:t xml:space="preserve"> values below this threshold are taken as quantitative evidence that the tenant's local explanation rankings are no longer recovering the same feature-importance signal as the data-rich baseline.</w:t>
      </w:r>
    </w:p>
    <w:p w14:paraId="47F4406C" w14:textId="77777777" w:rsidR="00266909" w:rsidRDefault="00927C5D">
      <w:pPr>
        <w:spacing w:after="120" w:line="360" w:lineRule="auto"/>
        <w:ind w:firstLine="403"/>
        <w:jc w:val="both"/>
      </w:pPr>
      <w:r>
        <w:rPr>
          <w:b/>
        </w:rPr>
        <w:t>Construct-validity caveat.</w:t>
      </w:r>
    </w:p>
    <w:p w14:paraId="21387CF6" w14:textId="6CB1A12A" w:rsidR="004B6798" w:rsidRDefault="007D6185" w:rsidP="004E06FC">
      <w:pPr>
        <w:spacing w:after="120" w:line="360" w:lineRule="auto"/>
        <w:ind w:firstLine="403"/>
        <w:jc w:val="both"/>
      </w:pPr>
      <w:r>
        <w:t xml:space="preserve">The </w:t>
      </w:r>
      <w:proofErr w:type="gramStart"/>
      <w:r>
        <w:t xml:space="preserve">metric </w:t>
      </w:r>
      <w:proofErr w:type="spellStart"/>
      <w:r>
        <w:t>ρ_t</w:t>
      </w:r>
      <w:proofErr w:type="spellEnd"/>
      <w:proofErr w:type="gramEnd"/>
      <w:r>
        <w:t xml:space="preserve"> measures baseline rank agreement (equivalently,</w:t>
      </w:r>
      <w:r w:rsidR="004E06FC">
        <w:t xml:space="preserve"> </w:t>
      </w:r>
      <w:r>
        <w:t xml:space="preserve">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AUC = 0.6556 and F_1 = 0.0263, which is well below the threshold at which one would attribute oracle status to its attribution rankings. The interpretation throughout this thesis is therefore operational: </w:t>
      </w:r>
      <w:proofErr w:type="spellStart"/>
      <w:r>
        <w:t>ρ_t</w:t>
      </w:r>
      <w:proofErr w:type="spellEnd"/>
      <w:r>
        <w:t xml:space="preserve"> quantifies the extent to which a </w:t>
      </w:r>
      <w:proofErr w:type="gramStart"/>
      <w:r>
        <w:t>sparsely-trained</w:t>
      </w:r>
      <w:proofErr w:type="gramEnd"/>
      <w:r>
        <w:t xml:space="preserve">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IV and V, it should be read in this reference-aligned-stability sense, not as a claim of ground-truth recovery.</w:t>
      </w:r>
    </w:p>
    <w:p w14:paraId="4CAD1DAC" w14:textId="752D5DA4" w:rsidR="00266909" w:rsidRDefault="006F1DEE">
      <w:pPr>
        <w:spacing w:after="120" w:line="360" w:lineRule="auto"/>
        <w:ind w:firstLine="403"/>
        <w:jc w:val="both"/>
      </w:pPr>
      <w:r>
        <w:rPr>
          <w:b/>
        </w:rPr>
        <w:t>SHAP Absolute Variance (σ²|SHAP|)</w:t>
      </w:r>
    </w:p>
    <w:p w14:paraId="28581AB7" w14:textId="77777777" w:rsidR="00266909" w:rsidRDefault="00927C5D">
      <w:pPr>
        <w:spacing w:after="120" w:line="360" w:lineRule="auto"/>
        <w:ind w:firstLine="403"/>
        <w:jc w:val="both"/>
      </w:pPr>
      <w:r>
        <w:t>Let _</w:t>
      </w:r>
      <w:proofErr w:type="spellStart"/>
      <w:r>
        <w:t>i</w:t>
      </w:r>
      <w:proofErr w:type="spellEnd"/>
      <w:r>
        <w:t xml:space="preserve">^ </w:t>
      </w:r>
      <w:proofErr w:type="spellStart"/>
      <w:r>
        <w:t>t</w:t>
      </w:r>
      <w:proofErr w:type="spellEnd"/>
      <w:r>
        <w:t xml:space="preserve"> denote the </w:t>
      </w:r>
      <w:proofErr w:type="gramStart"/>
      <w:r>
        <w:t>mean</w:t>
      </w:r>
      <w:proofErr w:type="gramEnd"/>
      <w:r>
        <w:t xml:space="preserve"> absolute SHAP value of feature </w:t>
      </w:r>
      <w:proofErr w:type="spellStart"/>
      <w:r>
        <w:t>i</w:t>
      </w:r>
      <w:proofErr w:type="spellEnd"/>
      <w:r>
        <w:t xml:space="preserve"> on tenant t's hold-out predictions, computed as</w:t>
      </w:r>
    </w:p>
    <w:p w14:paraId="242CE195" w14:textId="77777777" w:rsidR="004E06FC" w:rsidRDefault="00000000" w:rsidP="004E06FC">
      <w:pPr>
        <w:spacing w:after="120" w:line="360" w:lineRule="auto"/>
        <w:ind w:firstLine="403"/>
        <w:jc w:val="both"/>
      </w:pPr>
      <m:oMathPara>
        <m:oMath>
          <m:acc>
            <m:accPr>
              <m:chr m:val="̅"/>
              <m:ctrlPr>
                <w:rPr>
                  <w:rFonts w:ascii="Cambria Math" w:hAnsi="Cambria Math"/>
                </w:rPr>
              </m:ctrlPr>
            </m:accPr>
            <m:e>
              <m:sSubSup>
                <m:sSubSupPr>
                  <m:ctrlPr>
                    <w:rPr>
                      <w:rFonts w:ascii="Cambria Math" w:hAnsi="Cambria Math"/>
                      <w:i/>
                    </w:rPr>
                  </m:ctrlPr>
                </m:sSubSupPr>
                <m:e>
                  <m:r>
                    <m:rPr>
                      <m:sty m:val="p"/>
                    </m:rPr>
                    <w:rPr>
                      <w:rFonts w:ascii="Cambria Math" w:hAnsi="Cambria Math"/>
                    </w:rPr>
                    <m:t>ϕ</m:t>
                  </m:r>
                  <m:ctrlPr>
                    <w:rPr>
                      <w:rFonts w:ascii="Cambria Math" w:hAnsi="Cambria Math"/>
                    </w:rPr>
                  </m:ctrlPr>
                </m:e>
                <m:sub>
                  <m:r>
                    <w:rPr>
                      <w:rFonts w:ascii="Cambria Math" w:hAnsi="Cambria Math"/>
                    </w:rPr>
                    <m:t>i</m:t>
                  </m:r>
                </m:sub>
                <m:sup>
                  <m:r>
                    <w:rPr>
                      <w:rFonts w:ascii="Cambria Math" w:hAnsi="Cambria Math"/>
                    </w:rPr>
                    <m:t> t</m:t>
                  </m:r>
                </m:sup>
              </m:sSubSup>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m:rPr>
                      <m:nor/>
                    </m:rPr>
                    <w:rPr>
                      <w:rFonts w:ascii="Cambria Math" w:hAnsi="Cambria Math"/>
                    </w:rPr>
                    <m:t>eval</m:t>
                  </m:r>
                </m:sub>
              </m:sSub>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sSub>
                <m:sSubPr>
                  <m:ctrlPr>
                    <w:rPr>
                      <w:rFonts w:ascii="Cambria Math" w:hAnsi="Cambria Math"/>
                      <w:i/>
                    </w:rPr>
                  </m:ctrlPr>
                </m:sSubPr>
                <m:e>
                  <m:r>
                    <w:rPr>
                      <w:rFonts w:ascii="Cambria Math" w:hAnsi="Cambria Math"/>
                    </w:rPr>
                    <m:t>N</m:t>
                  </m:r>
                </m:e>
                <m:sub>
                  <m:r>
                    <m:rPr>
                      <m:nor/>
                    </m:rPr>
                    <w:rPr>
                      <w:rFonts w:ascii="Cambria Math" w:hAnsi="Cambria Math"/>
                    </w:rPr>
                    <m:t>eval</m:t>
                  </m:r>
                </m:sub>
              </m:sSub>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d>
            </m:e>
          </m:nary>
        </m:oMath>
      </m:oMathPara>
    </w:p>
    <w:p w14:paraId="0DD99D5E" w14:textId="008338FA" w:rsidR="00266909" w:rsidRDefault="004E06FC" w:rsidP="004E06FC">
      <w:pPr>
        <w:spacing w:after="120" w:line="360" w:lineRule="auto"/>
        <w:jc w:val="both"/>
      </w:pPr>
      <w:r>
        <w:lastRenderedPageBreak/>
        <w:br/>
      </w:r>
      <w:r w:rsidR="00927C5D">
        <w:t>The SHAP absolute variance for tenant t is then the dispersion of _</w:t>
      </w:r>
      <w:proofErr w:type="spellStart"/>
      <w:r w:rsidR="00927C5D">
        <w:t>i</w:t>
      </w:r>
      <w:proofErr w:type="spellEnd"/>
      <w:r w:rsidR="00927C5D">
        <w:t>^ t across features:</w:t>
      </w:r>
    </w:p>
    <w:p w14:paraId="2878EDD8" w14:textId="04A6C155" w:rsidR="004B6798" w:rsidRDefault="00000000">
      <w:pPr>
        <w:spacing w:after="120" w:line="360" w:lineRule="auto"/>
        <w:ind w:firstLine="403"/>
        <w:jc w:val="both"/>
      </w:pPr>
      <m:oMathPara>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SHAP</m:t>
              </m:r>
              <m:r>
                <w:rPr>
                  <w:rFonts w:ascii="Cambria Math" w:hAnsi="Cambria Math"/>
                </w:rPr>
                <m:t>,t</m:t>
              </m:r>
            </m:sub>
            <m:sup>
              <m:r>
                <w:rPr>
                  <w:rFonts w:ascii="Cambria Math" w:hAnsi="Cambria Math"/>
                </w:rPr>
                <m:t>2</m:t>
              </m:r>
              <m:d>
                <m:dPr>
                  <m:begChr m:val=""/>
                  <m:endChr m:val="|"/>
                  <m:ctrlPr>
                    <w:rPr>
                      <w:rFonts w:ascii="Cambria Math" w:hAnsi="Cambria Math"/>
                      <w:i/>
                    </w:rPr>
                  </m:ctrlPr>
                </m:dPr>
                <m:e>
                  <m:r>
                    <w:rPr>
                      <w:rFonts w:ascii="Cambria Math" w:hAnsi="Cambria Math"/>
                    </w:rPr>
                    <m:t>​</m:t>
                  </m:r>
                </m:e>
              </m:d>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rPr>
                      </m:ctrlPr>
                    </m:dPr>
                    <m:e>
                      <m:acc>
                        <m:accPr>
                          <m:chr m:val="̅"/>
                          <m:ctrlPr>
                            <w:rPr>
                              <w:rFonts w:ascii="Cambria Math" w:hAnsi="Cambria Math"/>
                            </w:rPr>
                          </m:ctrlPr>
                        </m:accPr>
                        <m:e>
                          <m:sSubSup>
                            <m:sSubSupPr>
                              <m:ctrlPr>
                                <w:rPr>
                                  <w:rFonts w:ascii="Cambria Math" w:hAnsi="Cambria Math"/>
                                  <w:i/>
                                </w:rPr>
                              </m:ctrlPr>
                            </m:sSubSupPr>
                            <m:e>
                              <m:r>
                                <m:rPr>
                                  <m:sty m:val="p"/>
                                </m:rPr>
                                <w:rPr>
                                  <w:rFonts w:ascii="Cambria Math" w:hAnsi="Cambria Math"/>
                                </w:rPr>
                                <m:t>ϕ</m:t>
                              </m:r>
                              <m:ctrlPr>
                                <w:rPr>
                                  <w:rFonts w:ascii="Cambria Math" w:hAnsi="Cambria Math"/>
                                </w:rPr>
                              </m:ctrlPr>
                            </m:e>
                            <m:sub>
                              <m:r>
                                <w:rPr>
                                  <w:rFonts w:ascii="Cambria Math" w:hAnsi="Cambria Math"/>
                                </w:rPr>
                                <m:t>i</m:t>
                              </m:r>
                            </m:sub>
                            <m:sup>
                              <m:r>
                                <w:rPr>
                                  <w:rFonts w:ascii="Cambria Math" w:hAnsi="Cambria Math"/>
                                </w:rPr>
                                <m:t>t</m:t>
                              </m:r>
                            </m:sup>
                          </m:sSubSup>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ϕ</m:t>
                              </m:r>
                              <m:ctrlPr>
                                <w:rPr>
                                  <w:rFonts w:ascii="Cambria Math" w:hAnsi="Cambria Math"/>
                                </w:rPr>
                              </m:ctrlPr>
                            </m:e>
                            <m:sup>
                              <m:r>
                                <w:rPr>
                                  <w:rFonts w:ascii="Cambria Math" w:hAnsi="Cambria Math"/>
                                </w:rPr>
                                <m:t>t</m:t>
                              </m:r>
                            </m:sup>
                          </m:sSup>
                        </m:e>
                      </m:acc>
                      <m:ctrlPr>
                        <w:rPr>
                          <w:rFonts w:ascii="Cambria Math" w:hAnsi="Cambria Math"/>
                          <w:i/>
                        </w:rPr>
                      </m:ctrlPr>
                    </m:e>
                  </m:d>
                </m:e>
                <m:sup>
                  <m:r>
                    <w:rPr>
                      <w:rFonts w:ascii="Cambria Math" w:hAnsi="Cambria Math"/>
                    </w:rPr>
                    <m:t>2</m:t>
                  </m:r>
                </m:sup>
              </m:sSup>
              <m:ctrlPr>
                <w:rPr>
                  <w:rFonts w:ascii="Cambria Math" w:hAnsi="Cambria Math"/>
                  <w:i/>
                </w:rPr>
              </m:ctrlPr>
            </m:e>
          </m:nary>
        </m:oMath>
      </m:oMathPara>
    </w:p>
    <w:p w14:paraId="184A6382" w14:textId="7DE3EE0C" w:rsidR="00266909" w:rsidRDefault="006F1DEE">
      <w:pPr>
        <w:spacing w:after="120" w:line="360" w:lineRule="auto"/>
        <w:ind w:firstLine="403"/>
        <w:jc w:val="both"/>
      </w:pPr>
      <w:r>
        <w:t>A high σ²|SHAP| indicates that the explanation mass is concentrated on a small subset of features</w:t>
      </w:r>
      <w:r w:rsidR="00E64620">
        <w:t xml:space="preserve"> </w:t>
      </w:r>
      <w:r>
        <w:t>the signature of a model over-fitting to a spurious correlation in a small training sample. A low value indicates that explanatory weight is distributed across a plausible coalition of features.</w:t>
      </w:r>
    </w:p>
    <w:p w14:paraId="78D83416" w14:textId="77777777" w:rsidR="00266909" w:rsidRDefault="00927C5D">
      <w:pPr>
        <w:spacing w:after="120" w:line="360" w:lineRule="auto"/>
        <w:ind w:firstLine="403"/>
        <w:jc w:val="both"/>
      </w:pPr>
      <w:r>
        <w:rPr>
          <w:b/>
        </w:rPr>
        <w:t>LIME Local Top-k Jaccard Similarity.</w:t>
      </w:r>
    </w:p>
    <w:p w14:paraId="1953233C" w14:textId="77777777" w:rsidR="00266909" w:rsidRDefault="00927C5D">
      <w:pPr>
        <w:spacing w:after="120" w:line="360" w:lineRule="auto"/>
        <w:ind w:firstLine="403"/>
        <w:jc w:val="both"/>
      </w:pPr>
      <w:r>
        <w:t xml:space="preserve">For each evaluation instance </w:t>
      </w:r>
      <w:proofErr w:type="spellStart"/>
      <w:r>
        <w:t>x_k</w:t>
      </w:r>
      <w:proofErr w:type="spellEnd"/>
      <w:r>
        <w:t xml:space="preserve">, LIME was run R = 50 times with independent perturbation seeds, producing R </w:t>
      </w:r>
      <w:proofErr w:type="gramStart"/>
      <w:r>
        <w:t>top-5</w:t>
      </w:r>
      <w:proofErr w:type="gramEnd"/>
      <w:r>
        <w:t xml:space="preserve"> feature subsets T^(r)_</w:t>
      </w:r>
      <w:proofErr w:type="spellStart"/>
      <w:r>
        <w:t>k_r</w:t>
      </w:r>
      <w:proofErr w:type="spellEnd"/>
      <w:r>
        <w:t>=1^R. The pairwise Jaccard stability for that instance was computed as</w:t>
      </w:r>
    </w:p>
    <w:p w14:paraId="4EF140B5" w14:textId="13D40E76" w:rsidR="004B6798" w:rsidRDefault="00000000">
      <w:pPr>
        <w:spacing w:after="120" w:line="360" w:lineRule="auto"/>
        <w:ind w:firstLine="403"/>
        <w:jc w:val="both"/>
      </w:pPr>
      <m:oMathPara>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R-1</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r&lt;s</m:t>
              </m:r>
              <m:r>
                <m:rPr>
                  <m:sty m:val="p"/>
                </m:rPr>
                <w:rPr>
                  <w:rFonts w:ascii="Cambria Math" w:hAnsi="Cambria Math"/>
                </w:rPr>
                <m:t>≤</m:t>
              </m:r>
              <m:r>
                <w:rPr>
                  <w:rFonts w:ascii="Cambria Math" w:hAnsi="Cambria Math"/>
                </w:rPr>
                <m:t>R</m:t>
              </m:r>
              <m:ctrlPr>
                <w:rPr>
                  <w:rFonts w:ascii="Cambria Math" w:hAnsi="Cambria Math"/>
                  <w:i/>
                </w:rPr>
              </m:ctrlPr>
            </m:sub>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d>
                            <m:dPr>
                              <m:ctrlPr>
                                <w:rPr>
                                  <w:rFonts w:ascii="Cambria Math" w:hAnsi="Cambria Math"/>
                                  <w:i/>
                                </w:rPr>
                              </m:ctrlPr>
                            </m:dPr>
                            <m:e>
                              <m:r>
                                <w:rPr>
                                  <w:rFonts w:ascii="Cambria Math" w:hAnsi="Cambria Math"/>
                                </w:rPr>
                                <m:t>r</m:t>
                              </m:r>
                            </m:e>
                          </m:d>
                        </m:sup>
                      </m:sSubSup>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d>
                            <m:dPr>
                              <m:ctrlPr>
                                <w:rPr>
                                  <w:rFonts w:ascii="Cambria Math" w:hAnsi="Cambria Math"/>
                                  <w:i/>
                                </w:rPr>
                              </m:ctrlPr>
                            </m:dPr>
                            <m:e>
                              <m:r>
                                <w:rPr>
                                  <w:rFonts w:ascii="Cambria Math" w:hAnsi="Cambria Math"/>
                                </w:rPr>
                                <m:t>s</m:t>
                              </m:r>
                            </m:e>
                          </m:d>
                        </m:sup>
                      </m:sSubSup>
                      <m:ctrlPr>
                        <w:rPr>
                          <w:rFonts w:ascii="Cambria Math" w:hAnsi="Cambria Math"/>
                          <w:i/>
                        </w:rPr>
                      </m:ctrlPr>
                    </m:e>
                  </m:d>
                  <m:ctrlPr>
                    <w:rPr>
                      <w:rFonts w:ascii="Cambria Math" w:hAnsi="Cambria Math"/>
                      <w:i/>
                    </w:rPr>
                  </m:ctrlPr>
                </m:num>
                <m:den>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d>
                            <m:dPr>
                              <m:ctrlPr>
                                <w:rPr>
                                  <w:rFonts w:ascii="Cambria Math" w:hAnsi="Cambria Math"/>
                                  <w:i/>
                                </w:rPr>
                              </m:ctrlPr>
                            </m:dPr>
                            <m:e>
                              <m:r>
                                <w:rPr>
                                  <w:rFonts w:ascii="Cambria Math" w:hAnsi="Cambria Math"/>
                                </w:rPr>
                                <m:t>r</m:t>
                              </m:r>
                            </m:e>
                          </m:d>
                        </m:sup>
                      </m:sSubSup>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d>
                            <m:dPr>
                              <m:ctrlPr>
                                <w:rPr>
                                  <w:rFonts w:ascii="Cambria Math" w:hAnsi="Cambria Math"/>
                                  <w:i/>
                                </w:rPr>
                              </m:ctrlPr>
                            </m:dPr>
                            <m:e>
                              <m:r>
                                <w:rPr>
                                  <w:rFonts w:ascii="Cambria Math" w:hAnsi="Cambria Math"/>
                                </w:rPr>
                                <m:t>s</m:t>
                              </m:r>
                            </m:e>
                          </m:d>
                        </m:sup>
                      </m:sSubSup>
                      <m:ctrlPr>
                        <w:rPr>
                          <w:rFonts w:ascii="Cambria Math" w:hAnsi="Cambria Math"/>
                          <w:i/>
                        </w:rPr>
                      </m:ctrlPr>
                    </m:e>
                  </m:d>
                  <m:ctrlPr>
                    <w:rPr>
                      <w:rFonts w:ascii="Cambria Math" w:hAnsi="Cambria Math"/>
                      <w:i/>
                    </w:rPr>
                  </m:ctrlPr>
                </m:den>
              </m:f>
            </m:e>
          </m:nary>
        </m:oMath>
      </m:oMathPara>
    </w:p>
    <w:p w14:paraId="0C787ECB" w14:textId="77777777" w:rsidR="00266909" w:rsidRDefault="00927C5D">
      <w:pPr>
        <w:spacing w:after="120" w:line="360" w:lineRule="auto"/>
        <w:ind w:firstLine="403"/>
        <w:jc w:val="both"/>
      </w:pPr>
      <w:r>
        <w:t xml:space="preserve">and the tenant-level LIME stability </w:t>
      </w:r>
      <w:proofErr w:type="spellStart"/>
      <w:r>
        <w:t>J^t</w:t>
      </w:r>
      <w:proofErr w:type="spellEnd"/>
      <w:r>
        <w:t xml:space="preserve"> was taken as the mean of </w:t>
      </w:r>
      <w:proofErr w:type="spellStart"/>
      <w:r>
        <w:t>J_k</w:t>
      </w:r>
      <w:proofErr w:type="spellEnd"/>
      <w:r>
        <w:t xml:space="preserve"> across the hold-out set. This metric directly measures whether LIME, run repeatedly on the same instance under the same tenant's model, returns a consistent explanation or merely a </w:t>
      </w:r>
      <w:proofErr w:type="gramStart"/>
      <w:r>
        <w:t>confidently-rendered</w:t>
      </w:r>
      <w:proofErr w:type="gramEnd"/>
      <w:r>
        <w:t xml:space="preserve"> noise sample.</w:t>
      </w:r>
    </w:p>
    <w:p w14:paraId="20C9DB17" w14:textId="1F196444" w:rsidR="00266909" w:rsidRDefault="00927C5D" w:rsidP="004B6798">
      <w:pPr>
        <w:spacing w:after="120" w:line="360" w:lineRule="auto"/>
        <w:ind w:firstLine="403"/>
        <w:jc w:val="both"/>
      </w:pPr>
      <w:r>
        <w:t>In addition to these three primary metrics, SHAP attribution</w:t>
      </w:r>
      <w:r w:rsidR="004B6798">
        <w:t xml:space="preserve"> </w:t>
      </w:r>
      <w:r>
        <w:t xml:space="preserve">entropy was tracked as a secondary stability indicator, computed in the standard Shannon-information form over the </w:t>
      </w:r>
      <w:proofErr w:type="spellStart"/>
      <w:r>
        <w:t>normalised</w:t>
      </w:r>
      <w:proofErr w:type="spellEnd"/>
      <w:r>
        <w:t xml:space="preserve"> _</w:t>
      </w:r>
      <w:proofErr w:type="spellStart"/>
      <w:r>
        <w:t>i</w:t>
      </w:r>
      <w:proofErr w:type="spellEnd"/>
      <w:r>
        <w:t>^ t distribution.</w:t>
      </w:r>
    </w:p>
    <w:p w14:paraId="7AE6C337" w14:textId="33347E76" w:rsidR="00266909" w:rsidRPr="00935488" w:rsidRDefault="00935488" w:rsidP="00935488">
      <w:pPr>
        <w:pStyle w:val="Heading3"/>
        <w:spacing w:after="120"/>
        <w:rPr>
          <w:rFonts w:ascii="Times New Roman" w:hAnsi="Times New Roman" w:cs="Times New Roman"/>
          <w:color w:val="000000"/>
        </w:rPr>
      </w:pPr>
      <w:bookmarkStart w:id="20" w:name="_Toc231264585"/>
      <w:r w:rsidRPr="00935488">
        <w:rPr>
          <w:rFonts w:ascii="Times New Roman" w:hAnsi="Times New Roman" w:cs="Times New Roman"/>
          <w:color w:val="000000"/>
        </w:rPr>
        <w:t>3.5.3 Threshold Determination Strategy</w:t>
      </w:r>
      <w:bookmarkEnd w:id="20"/>
    </w:p>
    <w:p w14:paraId="01DC0839" w14:textId="0AD1F267" w:rsidR="00266909" w:rsidRDefault="007D6185">
      <w:pPr>
        <w:spacing w:after="120" w:line="360" w:lineRule="auto"/>
        <w:ind w:firstLine="403"/>
        <w:jc w:val="both"/>
      </w:pPr>
      <w:r>
        <w:t>The cold-start threshold τ governing the architectural routing gate was identified empirically rather than postulated. The procedure was as follows:</w:t>
      </w:r>
    </w:p>
    <w:p w14:paraId="7AC6126F" w14:textId="6FB1525C" w:rsidR="00266909" w:rsidRDefault="007D6185" w:rsidP="004E06FC">
      <w:pPr>
        <w:pStyle w:val="ListBullet"/>
        <w:spacing w:after="120" w:line="360" w:lineRule="auto"/>
        <w:jc w:val="both"/>
      </w:pPr>
      <w:r>
        <w:t xml:space="preserve">The Spearman fidelity </w:t>
      </w:r>
      <w:proofErr w:type="gramStart"/>
      <w:r>
        <w:t xml:space="preserve">curve </w:t>
      </w:r>
      <w:proofErr w:type="spellStart"/>
      <w:r>
        <w:t>ρ_t</w:t>
      </w:r>
      <w:proofErr w:type="spellEnd"/>
      <w:proofErr w:type="gramEnd"/>
      <w:r>
        <w:t xml:space="preserve"> was plotted against the</w:t>
      </w:r>
      <w:r w:rsidR="004E06FC">
        <w:t xml:space="preserve"> </w:t>
      </w:r>
      <w:r w:rsidR="00927C5D">
        <w:t xml:space="preserve">tenant size </w:t>
      </w:r>
      <w:proofErr w:type="spellStart"/>
      <w:r w:rsidR="00927C5D">
        <w:t>n_t</w:t>
      </w:r>
      <w:proofErr w:type="spellEnd"/>
      <w:r w:rsidR="00927C5D">
        <w:t xml:space="preserve"> on a logarithmic horizontal axis.</w:t>
      </w:r>
    </w:p>
    <w:p w14:paraId="6643F0E1" w14:textId="535AA1C8" w:rsidR="00266909" w:rsidRDefault="007D6185" w:rsidP="004E06FC">
      <w:pPr>
        <w:pStyle w:val="ListBullet"/>
        <w:spacing w:after="120" w:line="360" w:lineRule="auto"/>
        <w:jc w:val="both"/>
      </w:pPr>
      <w:r>
        <w:lastRenderedPageBreak/>
        <w:t>The SHAP absolute variance curve σ²|SHAP</w:t>
      </w:r>
      <w:proofErr w:type="gramStart"/>
      <w:r>
        <w:t>|,t</w:t>
      </w:r>
      <w:proofErr w:type="gramEnd"/>
      <w:r w:rsidR="004E06FC">
        <w:t xml:space="preserve"> </w:t>
      </w:r>
      <w:r w:rsidR="00927C5D">
        <w:t>was overlaid on the same axis.</w:t>
      </w:r>
    </w:p>
    <w:p w14:paraId="6ACFDD45" w14:textId="2D1B3D5A" w:rsidR="00266909" w:rsidRDefault="00927C5D" w:rsidP="004E06FC">
      <w:pPr>
        <w:pStyle w:val="ListBullet"/>
        <w:spacing w:after="120" w:line="360" w:lineRule="auto"/>
        <w:jc w:val="both"/>
      </w:pPr>
      <w:r>
        <w:t>The threshold was defined as the largest tenant size at which</w:t>
      </w:r>
      <w:r w:rsidR="004E06FC">
        <w:t xml:space="preserve"> </w:t>
      </w:r>
      <w:proofErr w:type="spellStart"/>
      <w:r w:rsidR="007D6185">
        <w:t>ρ_t</w:t>
      </w:r>
      <w:proofErr w:type="spellEnd"/>
      <w:r w:rsidR="007D6185">
        <w:t xml:space="preserve"> first falls below the literature-conventional reliability bound of 0.70 and σ²|SHAP</w:t>
      </w:r>
      <w:proofErr w:type="gramStart"/>
      <w:r w:rsidR="007D6185">
        <w:t>|,t</w:t>
      </w:r>
      <w:proofErr w:type="gramEnd"/>
      <w:r w:rsidR="007D6185">
        <w:t xml:space="preserve"> first deviates appreciably above its data-rich baseline.</w:t>
      </w:r>
    </w:p>
    <w:p w14:paraId="1AAC2483" w14:textId="6F4756DB" w:rsidR="00266909" w:rsidRDefault="007D6185" w:rsidP="004E06FC">
      <w:pPr>
        <w:spacing w:after="120" w:line="360" w:lineRule="auto"/>
        <w:ind w:firstLine="403"/>
        <w:jc w:val="both"/>
      </w:pPr>
      <w:r>
        <w:t xml:space="preserve">Both conditions converged on n ≤ 1,000 (Tenant C), at which </w:t>
      </w:r>
      <w:proofErr w:type="spellStart"/>
      <w:r>
        <w:t>ρ_C</w:t>
      </w:r>
      <w:proofErr w:type="spellEnd"/>
      <w:r>
        <w:t xml:space="preserve"> = 0.6429 (below the 0.70 bound) and σ²|SHAP</w:t>
      </w:r>
      <w:proofErr w:type="gramStart"/>
      <w:r>
        <w:t>|,C</w:t>
      </w:r>
      <w:proofErr w:type="gramEnd"/>
      <w:r>
        <w:t xml:space="preserve"> = 0.0510 (already 128% above the Tenant A baseline of </w:t>
      </w:r>
      <w:proofErr w:type="gramStart"/>
      <w:r>
        <w:t>0.0224, and</w:t>
      </w:r>
      <w:proofErr w:type="gramEnd"/>
      <w:r>
        <w:t xml:space="preserve"> rising sharply for n &lt; 1,000). The threshold τ = 1,000 was therefore adopted as the operational boundary of the cold-start regime and embedded in the implementation as the constant</w:t>
      </w:r>
      <w:r w:rsidR="004E06FC">
        <w:t xml:space="preserve"> </w:t>
      </w:r>
      <w:r w:rsidR="00927C5D">
        <w:t>COLD_START_INVOICE_THRESHOLD.</w:t>
      </w:r>
    </w:p>
    <w:p w14:paraId="59016432" w14:textId="3FF15A09" w:rsidR="00266909" w:rsidRPr="00935488" w:rsidRDefault="00935488" w:rsidP="00935488">
      <w:pPr>
        <w:pStyle w:val="Heading2"/>
        <w:spacing w:after="120"/>
        <w:rPr>
          <w:rFonts w:ascii="Times New Roman" w:hAnsi="Times New Roman" w:cs="Times New Roman"/>
          <w:color w:val="000000"/>
          <w:sz w:val="24"/>
        </w:rPr>
      </w:pPr>
      <w:bookmarkStart w:id="21" w:name="_Toc231264586"/>
      <w:r w:rsidRPr="00935488">
        <w:rPr>
          <w:rFonts w:ascii="Times New Roman" w:hAnsi="Times New Roman" w:cs="Times New Roman"/>
          <w:color w:val="000000"/>
          <w:sz w:val="24"/>
        </w:rPr>
        <w:t>3.6 Deployment</w:t>
      </w:r>
      <w:bookmarkEnd w:id="21"/>
    </w:p>
    <w:p w14:paraId="256DAB41" w14:textId="019B290B" w:rsidR="00266909" w:rsidRPr="00935488" w:rsidRDefault="00935488" w:rsidP="00935488">
      <w:pPr>
        <w:pStyle w:val="Heading3"/>
        <w:spacing w:after="120"/>
        <w:rPr>
          <w:rFonts w:ascii="Times New Roman" w:hAnsi="Times New Roman" w:cs="Times New Roman"/>
          <w:color w:val="000000"/>
        </w:rPr>
      </w:pPr>
      <w:bookmarkStart w:id="22" w:name="_Toc231264587"/>
      <w:r w:rsidRPr="00935488">
        <w:rPr>
          <w:rFonts w:ascii="Times New Roman" w:hAnsi="Times New Roman" w:cs="Times New Roman"/>
          <w:color w:val="000000"/>
        </w:rPr>
        <w:t>3.6.1 Software Environment</w:t>
      </w:r>
      <w:bookmarkEnd w:id="22"/>
    </w:p>
    <w:p w14:paraId="7B4FB553" w14:textId="77777777" w:rsidR="00266909" w:rsidRDefault="00927C5D">
      <w:pPr>
        <w:spacing w:after="120" w:line="360" w:lineRule="auto"/>
        <w:ind w:firstLine="403"/>
        <w:jc w:val="both"/>
      </w:pPr>
      <w:r>
        <w:t xml:space="preserve">All experimentation and the corresponding reference implementation were carried out on a homogeneous software stack to </w:t>
      </w:r>
      <w:proofErr w:type="spellStart"/>
      <w:r>
        <w:t>maximise</w:t>
      </w:r>
      <w:proofErr w:type="spellEnd"/>
      <w:r>
        <w:t xml:space="preserve"> reproducibility:</w:t>
      </w:r>
    </w:p>
    <w:p w14:paraId="6F8A3DAA" w14:textId="5F373AF3" w:rsidR="00266909" w:rsidRDefault="00927C5D" w:rsidP="004E06FC">
      <w:pPr>
        <w:pStyle w:val="ListBullet"/>
        <w:spacing w:after="120" w:line="360" w:lineRule="auto"/>
        <w:jc w:val="both"/>
      </w:pPr>
      <w:r>
        <w:t xml:space="preserve">Language and runtime. Python 3.12.4 </w:t>
      </w:r>
      <w:proofErr w:type="gramStart"/>
      <w:r>
        <w:t>inside</w:t>
      </w:r>
      <w:proofErr w:type="gramEnd"/>
      <w:r>
        <w:t xml:space="preserve"> an isolated</w:t>
      </w:r>
      <w:r w:rsidR="004E06FC">
        <w:t xml:space="preserve"> </w:t>
      </w:r>
      <w:r>
        <w:t>virtual environment.</w:t>
      </w:r>
    </w:p>
    <w:p w14:paraId="256C98B2" w14:textId="77777777" w:rsidR="00266909" w:rsidRDefault="00927C5D" w:rsidP="004E06FC">
      <w:pPr>
        <w:pStyle w:val="ListBullet"/>
        <w:spacing w:after="120" w:line="360" w:lineRule="auto"/>
        <w:jc w:val="both"/>
      </w:pPr>
      <w:r>
        <w:t>Web framework. Django 4.2 (LTS).</w:t>
      </w:r>
    </w:p>
    <w:p w14:paraId="4C5132BE" w14:textId="51CCFD86" w:rsidR="00266909" w:rsidRDefault="00927C5D" w:rsidP="004E06FC">
      <w:pPr>
        <w:pStyle w:val="ListBullet"/>
        <w:spacing w:after="120" w:line="360" w:lineRule="auto"/>
        <w:jc w:val="both"/>
      </w:pPr>
      <w:r>
        <w:t>Persistence layer. PostgreSQL 15, configured under the</w:t>
      </w:r>
      <w:r w:rsidR="004E06FC">
        <w:t xml:space="preserve"> </w:t>
      </w:r>
      <w:r>
        <w:t>database-per-tenant isolation model.</w:t>
      </w:r>
    </w:p>
    <w:p w14:paraId="52575B4D" w14:textId="7FF9E312" w:rsidR="00266909" w:rsidRDefault="00927C5D" w:rsidP="004E06FC">
      <w:pPr>
        <w:pStyle w:val="ListBullet"/>
        <w:spacing w:after="120" w:line="360" w:lineRule="auto"/>
        <w:jc w:val="both"/>
      </w:pPr>
      <w:r>
        <w:t>Machine learning. scikit-learn 1.5 for all classifiers,</w:t>
      </w:r>
      <w:r w:rsidR="004E06FC">
        <w:t xml:space="preserve"> </w:t>
      </w:r>
      <w:r>
        <w:t>the standard</w:t>
      </w:r>
      <w:r w:rsidR="004E06FC">
        <w:t xml:space="preserve"> </w:t>
      </w:r>
      <w:proofErr w:type="spellStart"/>
      <w:r>
        <w:t>GradientBoostingClassifier</w:t>
      </w:r>
      <w:proofErr w:type="spellEnd"/>
      <w:r>
        <w:t>,</w:t>
      </w:r>
      <w:r w:rsidR="004E06FC">
        <w:t xml:space="preserve"> </w:t>
      </w:r>
      <w:proofErr w:type="spellStart"/>
      <w:r>
        <w:t>LogisticRegression</w:t>
      </w:r>
      <w:proofErr w:type="spellEnd"/>
      <w:r>
        <w:t xml:space="preserve">, and </w:t>
      </w:r>
      <w:proofErr w:type="spellStart"/>
      <w:r>
        <w:t>RandomForestClassifier</w:t>
      </w:r>
      <w:proofErr w:type="spellEnd"/>
      <w:r w:rsidR="004E06FC">
        <w:t xml:space="preserve"> </w:t>
      </w:r>
      <w:r>
        <w:t>interfaces.</w:t>
      </w:r>
    </w:p>
    <w:p w14:paraId="1DE96B6F" w14:textId="2E246D29" w:rsidR="00266909" w:rsidRDefault="00927C5D" w:rsidP="004E06FC">
      <w:pPr>
        <w:pStyle w:val="ListBullet"/>
        <w:spacing w:after="120" w:line="360" w:lineRule="auto"/>
        <w:jc w:val="both"/>
      </w:pPr>
      <w:r>
        <w:t xml:space="preserve">Explainable AI. </w:t>
      </w:r>
      <w:proofErr w:type="spellStart"/>
      <w:r>
        <w:t>shap</w:t>
      </w:r>
      <w:proofErr w:type="spellEnd"/>
      <w:r>
        <w:t xml:space="preserve"> </w:t>
      </w:r>
      <w:proofErr w:type="gramStart"/>
      <w:r>
        <w:t>( 0.45</w:t>
      </w:r>
      <w:proofErr w:type="gramEnd"/>
      <w:r>
        <w:t>) for SHAP</w:t>
      </w:r>
      <w:r w:rsidR="004E06FC">
        <w:t xml:space="preserve"> </w:t>
      </w:r>
      <w:proofErr w:type="spellStart"/>
      <w:r>
        <w:t>TreeExplainer</w:t>
      </w:r>
      <w:proofErr w:type="spellEnd"/>
      <w:r>
        <w:t xml:space="preserve"> / </w:t>
      </w:r>
      <w:proofErr w:type="spellStart"/>
      <w:r>
        <w:t>LinearExplainer</w:t>
      </w:r>
      <w:proofErr w:type="spellEnd"/>
      <w:r>
        <w:t xml:space="preserve">; lime </w:t>
      </w:r>
      <w:proofErr w:type="gramStart"/>
      <w:r>
        <w:t>( 0.2</w:t>
      </w:r>
      <w:proofErr w:type="gramEnd"/>
      <w:r>
        <w:t xml:space="preserve">) for LIME </w:t>
      </w:r>
      <w:proofErr w:type="spellStart"/>
      <w:r>
        <w:t>TabularExplainer</w:t>
      </w:r>
      <w:proofErr w:type="spellEnd"/>
      <w:r>
        <w:t>.</w:t>
      </w:r>
    </w:p>
    <w:p w14:paraId="741A3520" w14:textId="4B9AF0EE" w:rsidR="00266909" w:rsidRDefault="00927C5D" w:rsidP="004E06FC">
      <w:pPr>
        <w:pStyle w:val="ListBullet"/>
        <w:spacing w:after="120" w:line="360" w:lineRule="auto"/>
        <w:jc w:val="both"/>
      </w:pPr>
      <w:r>
        <w:t>Numerical and tabular support. NumPy, pandas, SciPy</w:t>
      </w:r>
      <w:r w:rsidR="004E06FC">
        <w:t xml:space="preserve"> </w:t>
      </w:r>
      <w:r>
        <w:t>(</w:t>
      </w:r>
      <w:proofErr w:type="spellStart"/>
      <w:proofErr w:type="gramStart"/>
      <w:r>
        <w:t>scipy.stats</w:t>
      </w:r>
      <w:proofErr w:type="gramEnd"/>
      <w:r>
        <w:t>.spearmanr</w:t>
      </w:r>
      <w:proofErr w:type="spellEnd"/>
      <w:r>
        <w:t xml:space="preserve">), and matplotlib (rendered </w:t>
      </w:r>
      <w:proofErr w:type="spellStart"/>
      <w:r>
        <w:t>headlessly</w:t>
      </w:r>
      <w:proofErr w:type="spellEnd"/>
      <w:r>
        <w:t xml:space="preserve"> via the Agg backend).</w:t>
      </w:r>
    </w:p>
    <w:p w14:paraId="204380BB" w14:textId="3B42A626" w:rsidR="00266909" w:rsidRDefault="00927C5D" w:rsidP="004E06FC">
      <w:pPr>
        <w:pStyle w:val="ListBullet"/>
        <w:spacing w:after="120" w:line="360" w:lineRule="auto"/>
        <w:jc w:val="both"/>
      </w:pPr>
      <w:r>
        <w:t>Randomness control. A single global seed</w:t>
      </w:r>
      <w:r w:rsidR="004E06FC">
        <w:t xml:space="preserve"> </w:t>
      </w:r>
      <w:proofErr w:type="spellStart"/>
      <w:r>
        <w:t>SEED</w:t>
      </w:r>
      <w:proofErr w:type="spellEnd"/>
      <w:r>
        <w:t xml:space="preserve"> = 42 was applied to NumPy, scikit-learn, and LIME, ensuring deterministic re-execution.</w:t>
      </w:r>
    </w:p>
    <w:p w14:paraId="58AE5701" w14:textId="3DE1889E" w:rsidR="00266909" w:rsidRPr="00935488" w:rsidRDefault="00935488" w:rsidP="00935488">
      <w:pPr>
        <w:pStyle w:val="Heading3"/>
        <w:spacing w:after="120"/>
        <w:rPr>
          <w:rFonts w:ascii="Times New Roman" w:hAnsi="Times New Roman" w:cs="Times New Roman"/>
          <w:color w:val="000000"/>
        </w:rPr>
      </w:pPr>
      <w:bookmarkStart w:id="23" w:name="_Toc231264588"/>
      <w:r w:rsidRPr="00935488">
        <w:rPr>
          <w:rFonts w:ascii="Times New Roman" w:hAnsi="Times New Roman" w:cs="Times New Roman"/>
          <w:color w:val="000000"/>
        </w:rPr>
        <w:lastRenderedPageBreak/>
        <w:t>3.6.2 Architectural Implementation</w:t>
      </w:r>
      <w:bookmarkEnd w:id="23"/>
    </w:p>
    <w:p w14:paraId="02B922BF" w14:textId="7364F263" w:rsidR="00266909" w:rsidRDefault="00927C5D" w:rsidP="004B6798">
      <w:pPr>
        <w:spacing w:after="120" w:line="360" w:lineRule="auto"/>
        <w:ind w:firstLine="403"/>
        <w:jc w:val="both"/>
      </w:pPr>
      <w:r>
        <w:t xml:space="preserve">The Maturity-Aware AI Routing gate was integrated into the existing ERP codebase through a deliberately </w:t>
      </w:r>
      <w:proofErr w:type="gramStart"/>
      <w:r>
        <w:t>minimal,</w:t>
      </w:r>
      <w:proofErr w:type="gramEnd"/>
      <w:r>
        <w:t xml:space="preserve"> additive modification of the</w:t>
      </w:r>
      <w:r w:rsidR="004B6798">
        <w:t xml:space="preserve"> </w:t>
      </w:r>
      <w:proofErr w:type="spellStart"/>
      <w:r>
        <w:t>LatePaymentPredictor</w:t>
      </w:r>
      <w:proofErr w:type="spellEnd"/>
      <w:r>
        <w:t xml:space="preserve"> class defined in the</w:t>
      </w:r>
      <w:r w:rsidR="004B6798">
        <w:t xml:space="preserve"> </w:t>
      </w:r>
      <w:proofErr w:type="spellStart"/>
      <w:proofErr w:type="gramStart"/>
      <w:r>
        <w:t>erp.ai.services</w:t>
      </w:r>
      <w:proofErr w:type="gramEnd"/>
      <w:r>
        <w:t>.finance</w:t>
      </w:r>
      <w:proofErr w:type="spellEnd"/>
      <w:r>
        <w:t xml:space="preserve"> module. Three engineering invariants were observed throughout the deployment:</w:t>
      </w:r>
    </w:p>
    <w:p w14:paraId="4CF77342" w14:textId="3BE19FD5" w:rsidR="00266909" w:rsidRDefault="00927C5D" w:rsidP="004E06FC">
      <w:pPr>
        <w:pStyle w:val="ListBullet"/>
        <w:spacing w:after="120" w:line="360" w:lineRule="auto"/>
        <w:jc w:val="both"/>
      </w:pPr>
      <w:r>
        <w:t>Backward compatibility. The existing</w:t>
      </w:r>
      <w:r w:rsidR="004B6798">
        <w:t xml:space="preserve"> </w:t>
      </w:r>
      <w:r>
        <w:t>predict(invoice) method was not modified. Every call site already in production continues to receive the unchanged</w:t>
      </w:r>
      <w:r w:rsidR="004B6798">
        <w:t xml:space="preserve"> </w:t>
      </w:r>
      <w:r>
        <w:t>probability score and unchanged SHAP/LIME local explanation. This guarantees that adopting the routing pattern is a strictly non-breaking change.</w:t>
      </w:r>
    </w:p>
    <w:p w14:paraId="564247F9" w14:textId="77777777" w:rsidR="004B6798" w:rsidRDefault="004B6798" w:rsidP="004E06FC">
      <w:pPr>
        <w:pStyle w:val="ListBullet"/>
        <w:numPr>
          <w:ilvl w:val="0"/>
          <w:numId w:val="0"/>
        </w:numPr>
        <w:spacing w:after="120" w:line="360" w:lineRule="auto"/>
        <w:ind w:left="360"/>
        <w:jc w:val="both"/>
      </w:pPr>
    </w:p>
    <w:p w14:paraId="36560609" w14:textId="242FB772" w:rsidR="00266909" w:rsidRDefault="00927C5D" w:rsidP="004E06FC">
      <w:pPr>
        <w:pStyle w:val="ListBullet"/>
        <w:spacing w:after="120" w:line="360" w:lineRule="auto"/>
        <w:jc w:val="both"/>
      </w:pPr>
      <w:r>
        <w:t>Single point of decision. The routing logic was</w:t>
      </w:r>
      <w:r w:rsidR="004B6798">
        <w:t xml:space="preserve"> </w:t>
      </w:r>
      <w:proofErr w:type="spellStart"/>
      <w:r>
        <w:t>localised</w:t>
      </w:r>
      <w:proofErr w:type="spellEnd"/>
      <w:r>
        <w:t xml:space="preserve"> in a new method, </w:t>
      </w:r>
      <w:proofErr w:type="spellStart"/>
      <w:r>
        <w:t>predict_or_heuristic</w:t>
      </w:r>
      <w:proofErr w:type="spellEnd"/>
      <w:r>
        <w:t>(invoice), which inspects a private method _</w:t>
      </w:r>
      <w:proofErr w:type="spellStart"/>
      <w:r>
        <w:t>invoice_</w:t>
      </w:r>
      <w:proofErr w:type="gramStart"/>
      <w:r>
        <w:t>count</w:t>
      </w:r>
      <w:proofErr w:type="spellEnd"/>
      <w:r>
        <w:t>(</w:t>
      </w:r>
      <w:proofErr w:type="gramEnd"/>
      <w:r>
        <w:t>)</w:t>
      </w:r>
      <w:r w:rsidR="004B6798">
        <w:t xml:space="preserve"> </w:t>
      </w:r>
      <w:r>
        <w:t>itself a thin wrapper over an</w:t>
      </w:r>
      <w:r w:rsidR="004B6798">
        <w:t xml:space="preserve"> </w:t>
      </w:r>
      <w:proofErr w:type="spellStart"/>
      <w:proofErr w:type="gramStart"/>
      <w:r>
        <w:t>Invoice.objects.filter</w:t>
      </w:r>
      <w:proofErr w:type="spellEnd"/>
      <w:proofErr w:type="gramEnd"/>
      <w:r>
        <w:t xml:space="preserve">(company=, </w:t>
      </w:r>
      <w:proofErr w:type="spellStart"/>
      <w:r>
        <w:t>status__in</w:t>
      </w:r>
      <w:proofErr w:type="spellEnd"/>
      <w:proofErr w:type="gramStart"/>
      <w:r>
        <w:t>=[</w:t>
      </w:r>
      <w:proofErr w:type="gramEnd"/>
      <w:r>
        <w:t>]).</w:t>
      </w:r>
      <w:r w:rsidR="004B6798">
        <w:t xml:space="preserve"> </w:t>
      </w:r>
      <w:proofErr w:type="gramStart"/>
      <w:r>
        <w:t>count(</w:t>
      </w:r>
      <w:proofErr w:type="gramEnd"/>
      <w:r>
        <w:t>) query restricted to the current tenant's database</w:t>
      </w:r>
      <w:r w:rsidR="004B6798">
        <w:t xml:space="preserve"> </w:t>
      </w:r>
      <w:r>
        <w:t xml:space="preserve">and dispatches to either the global-heuristic branch or the existing </w:t>
      </w:r>
      <w:proofErr w:type="gramStart"/>
      <w:r>
        <w:t>predict(</w:t>
      </w:r>
      <w:proofErr w:type="gramEnd"/>
      <w:r>
        <w:t>) branch.</w:t>
      </w:r>
    </w:p>
    <w:p w14:paraId="310C1D9D" w14:textId="6C0D0C6B" w:rsidR="00266909" w:rsidRDefault="00927C5D" w:rsidP="004E06FC">
      <w:pPr>
        <w:pStyle w:val="ListBullet"/>
        <w:spacing w:after="120" w:line="360" w:lineRule="auto"/>
        <w:jc w:val="both"/>
      </w:pPr>
      <w:r>
        <w:t>Fail-safe fallback. The heuristic loader</w:t>
      </w:r>
      <w:r w:rsidR="004B6798">
        <w:t xml:space="preserve"> </w:t>
      </w:r>
      <w:r>
        <w:t>_</w:t>
      </w:r>
      <w:proofErr w:type="spellStart"/>
      <w:r>
        <w:t>load_global_</w:t>
      </w:r>
      <w:proofErr w:type="gramStart"/>
      <w:r>
        <w:t>heuristic</w:t>
      </w:r>
      <w:proofErr w:type="spellEnd"/>
      <w:r>
        <w:t>(</w:t>
      </w:r>
      <w:proofErr w:type="gramEnd"/>
      <w:r>
        <w:t xml:space="preserve">) was implemented as a </w:t>
      </w:r>
      <w:proofErr w:type="spellStart"/>
      <w:r>
        <w:t>memoised</w:t>
      </w:r>
      <w:proofErr w:type="spellEnd"/>
      <w:r>
        <w:t xml:space="preserve"> </w:t>
      </w:r>
      <w:proofErr w:type="spellStart"/>
      <w:r>
        <w:t>classmethod</w:t>
      </w:r>
      <w:proofErr w:type="spellEnd"/>
      <w:r>
        <w:t xml:space="preserve"> that gracefully degrades to a hard-coded conservative default if the on-disk artefact is missing or malformed, ensuring that the routing gate cannot itself become a new operational failure mode.</w:t>
      </w:r>
    </w:p>
    <w:p w14:paraId="708ED637" w14:textId="2EADAB6E" w:rsidR="00266909" w:rsidRDefault="00927C5D" w:rsidP="004E06FC">
      <w:pPr>
        <w:spacing w:after="120" w:line="360" w:lineRule="auto"/>
        <w:jc w:val="both"/>
      </w:pPr>
      <w:r>
        <w:t xml:space="preserve">The result is that the architectural pattern is additive: it can be enabled by switching call sites from </w:t>
      </w:r>
      <w:proofErr w:type="gramStart"/>
      <w:r>
        <w:t>predict(</w:t>
      </w:r>
      <w:proofErr w:type="gramEnd"/>
      <w:r>
        <w:t>) to</w:t>
      </w:r>
      <w:r w:rsidR="004B6798">
        <w:t xml:space="preserve"> </w:t>
      </w:r>
      <w:proofErr w:type="spellStart"/>
      <w:r>
        <w:t>predict_or_</w:t>
      </w:r>
      <w:proofErr w:type="gramStart"/>
      <w:r>
        <w:t>heuristic</w:t>
      </w:r>
      <w:proofErr w:type="spellEnd"/>
      <w:r>
        <w:t>(</w:t>
      </w:r>
      <w:proofErr w:type="gramEnd"/>
      <w:r>
        <w:t>), and rolled back by reversing the same switch, without any database migration or downtime.</w:t>
      </w:r>
    </w:p>
    <w:p w14:paraId="32BCE2C9" w14:textId="785AA98D" w:rsidR="00266909" w:rsidRPr="00935488" w:rsidRDefault="00935488" w:rsidP="00935488">
      <w:pPr>
        <w:pStyle w:val="Heading3"/>
        <w:spacing w:after="120"/>
        <w:rPr>
          <w:rFonts w:ascii="Times New Roman" w:hAnsi="Times New Roman" w:cs="Times New Roman"/>
          <w:color w:val="000000"/>
        </w:rPr>
      </w:pPr>
      <w:bookmarkStart w:id="24" w:name="_Toc231264589"/>
      <w:r w:rsidRPr="00935488">
        <w:rPr>
          <w:rFonts w:ascii="Times New Roman" w:hAnsi="Times New Roman" w:cs="Times New Roman"/>
          <w:color w:val="000000"/>
        </w:rPr>
        <w:t>3.6.3 Global Heuristic Artefact</w:t>
      </w:r>
      <w:bookmarkEnd w:id="24"/>
    </w:p>
    <w:p w14:paraId="3D3807D8" w14:textId="3DE13E20" w:rsidR="00266909" w:rsidRDefault="00927C5D" w:rsidP="004B6798">
      <w:pPr>
        <w:spacing w:after="120" w:line="360" w:lineRule="auto"/>
        <w:ind w:firstLine="403"/>
        <w:jc w:val="both"/>
      </w:pPr>
      <w:r>
        <w:t xml:space="preserve">The global heuristic served to cold-start tenants was </w:t>
      </w:r>
      <w:proofErr w:type="spellStart"/>
      <w:r>
        <w:t>materialised</w:t>
      </w:r>
      <w:proofErr w:type="spellEnd"/>
      <w:r>
        <w:t xml:space="preserve"> as a </w:t>
      </w:r>
      <w:proofErr w:type="spellStart"/>
      <w:r>
        <w:t>serialised</w:t>
      </w:r>
      <w:proofErr w:type="spellEnd"/>
      <w:r>
        <w:t xml:space="preserve"> JSON artefact, </w:t>
      </w:r>
      <w:proofErr w:type="spellStart"/>
      <w:r>
        <w:t>cold_start_</w:t>
      </w:r>
      <w:proofErr w:type="gramStart"/>
      <w:r>
        <w:t>heuristic.json</w:t>
      </w:r>
      <w:proofErr w:type="spellEnd"/>
      <w:proofErr w:type="gramEnd"/>
      <w:r>
        <w:t>, produced once offline at the end of the sparsity experiment and persisted under</w:t>
      </w:r>
      <w:r w:rsidR="004B6798">
        <w:t xml:space="preserve"> </w:t>
      </w:r>
      <w:r>
        <w:t>thesis/results/</w:t>
      </w:r>
      <w:proofErr w:type="spellStart"/>
      <w:r>
        <w:t>sparsity_experiment</w:t>
      </w:r>
      <w:proofErr w:type="spellEnd"/>
      <w:r>
        <w:t>/. Its construction proceeded as follows:</w:t>
      </w:r>
    </w:p>
    <w:p w14:paraId="5477E7FA" w14:textId="680BD01B" w:rsidR="00266909" w:rsidRDefault="00927C5D" w:rsidP="004E06FC">
      <w:pPr>
        <w:pStyle w:val="ListBullet"/>
        <w:spacing w:after="120" w:line="360" w:lineRule="auto"/>
        <w:jc w:val="both"/>
      </w:pPr>
      <w:r>
        <w:lastRenderedPageBreak/>
        <w:t>The Tenant A (n = 50,000) Gradient Boosting model was</w:t>
      </w:r>
      <w:r w:rsidR="004B6798">
        <w:t xml:space="preserve"> </w:t>
      </w:r>
      <w:r>
        <w:t>identified as the cross-tenant baseline, on the grounds that it had been trained on the largest and most representative sample available and exhibited the strongest predictive performance.</w:t>
      </w:r>
    </w:p>
    <w:p w14:paraId="291E647A" w14:textId="13C24144" w:rsidR="00266909" w:rsidRDefault="00927C5D" w:rsidP="004E06FC">
      <w:pPr>
        <w:pStyle w:val="ListBullet"/>
        <w:spacing w:after="120" w:line="360" w:lineRule="auto"/>
        <w:jc w:val="both"/>
      </w:pPr>
      <w:r>
        <w:t>Its global mean-absolute-SHAP feature-importance vector was</w:t>
      </w:r>
      <w:r w:rsidR="004B6798">
        <w:t xml:space="preserve"> </w:t>
      </w:r>
      <w:r>
        <w:t>computed on the shared hold-out set.</w:t>
      </w:r>
    </w:p>
    <w:p w14:paraId="65FFB884" w14:textId="1979A425" w:rsidR="00266909" w:rsidRDefault="00927C5D" w:rsidP="004E06FC">
      <w:pPr>
        <w:pStyle w:val="ListBullet"/>
        <w:spacing w:after="120" w:line="360" w:lineRule="auto"/>
        <w:jc w:val="both"/>
      </w:pPr>
      <w:r>
        <w:t>The top-k (k = 5) features were extracted, together with</w:t>
      </w:r>
      <w:r w:rsidR="004B6798">
        <w:t xml:space="preserve"> </w:t>
      </w:r>
      <w:r>
        <w:t xml:space="preserve">their </w:t>
      </w:r>
      <w:proofErr w:type="spellStart"/>
      <w:r>
        <w:t>normalised</w:t>
      </w:r>
      <w:proofErr w:type="spellEnd"/>
      <w:r>
        <w:t xml:space="preserve"> importance weights, the underlying tenant size and class prevalence, and a short human-readable reason string ("Tenant data volume below the </w:t>
      </w:r>
      <w:proofErr w:type="gramStart"/>
      <w:r>
        <w:t>empirically-determined</w:t>
      </w:r>
      <w:proofErr w:type="gramEnd"/>
      <w:r>
        <w:t xml:space="preserve"> reliability threshold; serving global cross-tenant feature importance derived from the data-rich baseline.").</w:t>
      </w:r>
    </w:p>
    <w:p w14:paraId="7B707A07" w14:textId="3C79D5C6" w:rsidR="00266909" w:rsidRDefault="00927C5D" w:rsidP="004E06FC">
      <w:pPr>
        <w:pStyle w:val="ListBullet"/>
        <w:spacing w:after="120" w:line="360" w:lineRule="auto"/>
        <w:jc w:val="both"/>
      </w:pPr>
      <w:r>
        <w:t xml:space="preserve">The resulting structured object was </w:t>
      </w:r>
      <w:proofErr w:type="spellStart"/>
      <w:r>
        <w:t>serialised</w:t>
      </w:r>
      <w:proofErr w:type="spellEnd"/>
      <w:r>
        <w:t xml:space="preserve"> to disk in JSON</w:t>
      </w:r>
      <w:r w:rsidR="004B6798">
        <w:t xml:space="preserve"> </w:t>
      </w:r>
      <w:r>
        <w:t>form.</w:t>
      </w:r>
    </w:p>
    <w:p w14:paraId="25066497" w14:textId="77777777" w:rsidR="00266909" w:rsidRDefault="00927C5D" w:rsidP="004E06FC">
      <w:pPr>
        <w:spacing w:after="120" w:line="360" w:lineRule="auto"/>
        <w:ind w:firstLine="403"/>
        <w:jc w:val="both"/>
      </w:pPr>
      <w:r>
        <w:t xml:space="preserve">The </w:t>
      </w:r>
      <w:proofErr w:type="spellStart"/>
      <w:r>
        <w:t>materialised</w:t>
      </w:r>
      <w:proofErr w:type="spellEnd"/>
      <w:r>
        <w:t xml:space="preserve"> payload has the following structure (abbreviated to the first entry of the top-k list for space):</w:t>
      </w:r>
    </w:p>
    <w:p w14:paraId="014DCD0D" w14:textId="77777777" w:rsidR="00266909" w:rsidRDefault="00927C5D">
      <w:pPr>
        <w:spacing w:after="120" w:line="360" w:lineRule="auto"/>
        <w:ind w:firstLine="403"/>
        <w:jc w:val="both"/>
      </w:pPr>
      <w:r>
        <w:t>"mode": "</w:t>
      </w:r>
      <w:proofErr w:type="spellStart"/>
      <w:r>
        <w:t>global_heuristic</w:t>
      </w:r>
      <w:proofErr w:type="spellEnd"/>
      <w:r>
        <w:t>", "threshold": 1000, "</w:t>
      </w:r>
      <w:proofErr w:type="spellStart"/>
      <w:r>
        <w:t>baseline_tenant</w:t>
      </w:r>
      <w:proofErr w:type="spellEnd"/>
      <w:r>
        <w:t>": "A", "</w:t>
      </w:r>
      <w:proofErr w:type="spellStart"/>
      <w:r>
        <w:t>baseline_n</w:t>
      </w:r>
      <w:proofErr w:type="spellEnd"/>
      <w:r>
        <w:t>": 50000, "</w:t>
      </w:r>
      <w:proofErr w:type="spellStart"/>
      <w:r>
        <w:t>top_features</w:t>
      </w:r>
      <w:proofErr w:type="spellEnd"/>
      <w:r>
        <w:t>": [ "feature": "</w:t>
      </w:r>
      <w:proofErr w:type="spellStart"/>
      <w:r>
        <w:t>freight_value</w:t>
      </w:r>
      <w:proofErr w:type="spellEnd"/>
      <w:r>
        <w:t>", "importance": 0.30, "rank": 1 // ... 4 more entries ... ], "reason": "Tenant data volume below the empirically- determined reliability threshold; serving global cross-tenant feature importance."</w:t>
      </w:r>
    </w:p>
    <w:p w14:paraId="20C0172F" w14:textId="77777777" w:rsidR="00266909" w:rsidRDefault="00927C5D">
      <w:pPr>
        <w:spacing w:after="120" w:line="360" w:lineRule="auto"/>
        <w:ind w:firstLine="403"/>
        <w:jc w:val="both"/>
      </w:pPr>
      <w:r>
        <w:t>At runtime, _</w:t>
      </w:r>
      <w:proofErr w:type="spellStart"/>
      <w:r>
        <w:t>load_global_</w:t>
      </w:r>
      <w:proofErr w:type="gramStart"/>
      <w:r>
        <w:t>heuristic</w:t>
      </w:r>
      <w:proofErr w:type="spellEnd"/>
      <w:r>
        <w:t>(</w:t>
      </w:r>
      <w:proofErr w:type="gramEnd"/>
      <w:r>
        <w:t>)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w:t>
      </w:r>
    </w:p>
    <w:p w14:paraId="0446270B" w14:textId="7D48A5A2" w:rsidR="00266909" w:rsidRDefault="00927C5D">
      <w:pPr>
        <w:spacing w:after="120" w:line="360" w:lineRule="auto"/>
        <w:ind w:firstLine="403"/>
        <w:jc w:val="both"/>
      </w:pPr>
      <w:r>
        <w:t xml:space="preserve">Together, the empirical methodology of Sections </w:t>
      </w:r>
      <w:proofErr w:type="spellStart"/>
      <w:r w:rsidR="00E20B71">
        <w:t>Sections</w:t>
      </w:r>
      <w:proofErr w:type="spellEnd"/>
      <w:r w:rsidR="00E20B71">
        <w:t xml:space="preserve"> 3.1–3.5</w:t>
      </w:r>
      <w:r>
        <w:t xml:space="preserve"> and the deployment discipline of </w:t>
      </w:r>
      <w:r w:rsidR="00E20B71">
        <w:t>Section 3.6</w:t>
      </w:r>
      <w:r>
        <w:t xml:space="preserve"> define a fully reproducible pipeline whose results are reported in the following chapter.</w:t>
      </w:r>
    </w:p>
    <w:p w14:paraId="12547C1F" w14:textId="2E9B7745" w:rsidR="00266909" w:rsidRDefault="00266909" w:rsidP="00CC24E1">
      <w:pPr>
        <w:spacing w:after="120" w:line="360" w:lineRule="auto"/>
        <w:jc w:val="both"/>
      </w:pPr>
    </w:p>
    <w:sectPr w:rsidR="00266909" w:rsidSect="00034616">
      <w:headerReference w:type="even" r:id="rId9"/>
      <w:headerReference w:type="default" r:id="rId10"/>
      <w:footerReference w:type="even" r:id="rId11"/>
      <w:footerReference w:type="default" r:id="rId12"/>
      <w:headerReference w:type="first" r:id="rId13"/>
      <w:footerReference w:type="first" r:id="rId14"/>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13A81" w14:textId="77777777" w:rsidR="00FD196F" w:rsidRDefault="00FD196F">
      <w:pPr>
        <w:spacing w:after="0" w:line="240" w:lineRule="auto"/>
      </w:pPr>
      <w:r>
        <w:separator/>
      </w:r>
    </w:p>
  </w:endnote>
  <w:endnote w:type="continuationSeparator" w:id="0">
    <w:p w14:paraId="1F1A07F6" w14:textId="77777777" w:rsidR="00FD196F" w:rsidRDefault="00FD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2B12" w14:textId="77777777" w:rsidR="00FD196F" w:rsidRDefault="00FD196F">
      <w:pPr>
        <w:spacing w:after="0" w:line="240" w:lineRule="auto"/>
      </w:pPr>
      <w:r>
        <w:separator/>
      </w:r>
    </w:p>
  </w:footnote>
  <w:footnote w:type="continuationSeparator" w:id="0">
    <w:p w14:paraId="2B8466C5" w14:textId="77777777" w:rsidR="00FD196F" w:rsidRDefault="00FD1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000000">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000000">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000000">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B555C"/>
    <w:rsid w:val="004B6798"/>
    <w:rsid w:val="004E06FC"/>
    <w:rsid w:val="005630B1"/>
    <w:rsid w:val="005C30E2"/>
    <w:rsid w:val="005D581C"/>
    <w:rsid w:val="00653346"/>
    <w:rsid w:val="006C27C0"/>
    <w:rsid w:val="006F1DEE"/>
    <w:rsid w:val="007D6185"/>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13615"/>
    <w:rsid w:val="00C501EB"/>
    <w:rsid w:val="00C6617D"/>
    <w:rsid w:val="00C817E0"/>
    <w:rsid w:val="00CB0664"/>
    <w:rsid w:val="00CC24E1"/>
    <w:rsid w:val="00D710DB"/>
    <w:rsid w:val="00DB3A76"/>
    <w:rsid w:val="00DD0721"/>
    <w:rsid w:val="00DF7A0D"/>
    <w:rsid w:val="00E011C8"/>
    <w:rsid w:val="00E2083D"/>
    <w:rsid w:val="00E20B71"/>
    <w:rsid w:val="00E336C6"/>
    <w:rsid w:val="00E375C8"/>
    <w:rsid w:val="00E64620"/>
    <w:rsid w:val="00E80065"/>
    <w:rsid w:val="00F5483A"/>
    <w:rsid w:val="00FC693F"/>
    <w:rsid w:val="00FD19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17</Pages>
  <Words>4460</Words>
  <Characters>26898</Characters>
  <Application>Microsoft Office Word</Application>
  <DocSecurity>0</DocSecurity>
  <Lines>548</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5</cp:revision>
  <cp:lastPrinted>2026-05-30T18:35:00Z</cp:lastPrinted>
  <dcterms:created xsi:type="dcterms:W3CDTF">2026-06-01T20:13:00Z</dcterms:created>
  <dcterms:modified xsi:type="dcterms:W3CDTF">2026-06-12T04:17:00Z</dcterms:modified>
  <cp:category/>
</cp:coreProperties>
</file>