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sz w:val="44"/>
          <w:szCs w:val="44"/>
        </w:rPr>
        <w:t xml:space="preserve">Hallucinated Explanations in Multi-Tenant ERP Cold-Start Regimes:</w:t>
      </w:r>
      <w:r>
        <w:rPr>
          <w:rFonts w:ascii="Times New Roman" w:cs="Times New Roman" w:eastAsia="Times New Roman" w:hAnsi="Times New Roman"/>
          <w:sz w:val="44"/>
          <w:szCs w:val="44"/>
        </w:rPr>
        <w:br/>
        <w:t xml:space="preserve">Empirical Evidence and a Maturity-Aware AI Routing Pattern</w:t>
      </w:r>
    </w:p>
    <w:p>
      <w:pPr>
        <w:spacing w:after="40" w:before="120"/>
        <w:jc w:val="center"/>
      </w:pPr>
      <w:r>
        <w:rPr>
          <w:rFonts w:ascii="Times New Roman" w:cs="Times New Roman" w:eastAsia="Times New Roman" w:hAnsi="Times New Roman"/>
          <w:sz w:val="22"/>
          <w:szCs w:val="22"/>
        </w:rPr>
        <w:t xml:space="preserve">Ahmed Ameen Hassan Alkuraimi</w:t>
      </w:r>
    </w:p>
    <w:p>
      <w:pPr>
        <w:spacing w:after="0"/>
        <w:jc w:val="center"/>
      </w:pPr>
      <w:r>
        <w:rPr>
          <w:rFonts w:ascii="Times New Roman" w:cs="Times New Roman" w:eastAsia="Times New Roman" w:hAnsi="Times New Roman"/>
          <w:sz w:val="20"/>
          <w:szCs w:val="20"/>
        </w:rPr>
        <w:t xml:space="preserve">Faculty of Engineering</w:t>
      </w:r>
      <w:r>
        <w:rPr>
          <w:rFonts w:ascii="Times New Roman" w:cs="Times New Roman" w:eastAsia="Times New Roman" w:hAnsi="Times New Roman"/>
          <w:sz w:val="20"/>
          <w:szCs w:val="20"/>
        </w:rPr>
        <w:br/>
        <w:t xml:space="preserve">State University of Malang, Indonesia</w:t>
      </w:r>
      <w:r>
        <w:rPr>
          <w:rFonts w:ascii="Courier New" w:cs="Courier New" w:eastAsia="Courier New" w:hAnsi="Courier New"/>
          <w:sz w:val="20"/>
          <w:szCs w:val="20"/>
        </w:rPr>
        <w:br/>
        <w:t xml:space="preserve">ahmed.ameen.2205356@students.um.ac.id</w:t>
      </w:r>
    </w:p>
    <w:p/>
    <w:p>
      <w:pPr>
        <w:sectPr>
          <w:pgSz w:w="12240" w:h="15840" w:orient="portrait"/>
          <w:pgMar w:top="1080" w:right="1080" w:bottom="1440" w:left="1080" w:header="708" w:footer="708" w:gutter="0"/>
          <w:pgNumType/>
          <w:docGrid w:linePitch="360"/>
        </w:sectPr>
      </w:pPr>
    </w:p>
    <w:p>
      <w:pPr>
        <w:spacing w:after="12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—Multi-tenant Software-as-a-Service Enterprise Resource Planning (ERP) platforms increasingly embed predictive models augmented with post-hoc Explainable AI (XAI) tools such as SHAP and LIME. We document a systems-level failure mode in this design: for cold-start tenants with only tens or hundreds of historical rows, SHAP and LIME continue to emit confident, well-formatted explanations even when the underlying classifier is statistically equivalent to random guessing. Using a controlled sparsity experiment over five simulated tenants (50,000, 5,000, 1,000, 200, 50 rows) on the Brazilian Olist e-commerce corpus, operationalised as a Late Delivery Risk task as a structural proxy for ERP-style operational-risk prediction (and explicitly generalising to the studied platform’s late-payment module), and trained under a strict order-time leakage-avoidance regime, we show that classical predictive metrics fail to track the regime change (AUC-ROC ∈ {0.66, 0.62, 0.61, 0.61, 0.89}, the last being a small-sample artefact), whereas baseline rank agreement of SHAP global importances against the data-rich reference tenant degrades near-monotonically (ρ = 1.000, 0.857, 0.643, 0.615, 0.449), crossing the conventional ρ ≥ 0.70 reliability threshold at exactly </w:t>
      </w:r>
      <w:r>
        <w:rPr>
          <w:rFonts w:ascii="Times New Roman" w:cs="Times New Roman" w:eastAsia="Times New Roman" w:hAnsi="Times New Roman"/>
          <w:b/>
          <w:bCs/>
          <w:i/>
          <w:iCs/>
          <w:sz w:val="18"/>
          <w:szCs w:val="18"/>
        </w:rPr>
        <w:t xml:space="preserve">n</w:t>
      </w:r>
      <w:r>
        <w:rPr>
          <w:rFonts w:ascii="Times New Roman" w:cs="Times New Roman" w:eastAsia="Times New Roman" w:hAnsi="Times New Roman"/>
          <w:b/>
          <w:bCs/>
          <w:i/>
          <w:iCs/>
          <w:sz w:val="18"/>
          <w:szCs w:val="18"/>
          <w:vertAlign w:val="subscript"/>
        </w:rPr>
        <w:t xml:space="preserve">t</w:t>
      </w:r>
      <w:r>
        <w:rPr>
          <w:rFonts w:ascii="Times New Roman" w:cs="Times New Roman" w:eastAsia="Times New Roman" w:hAnsi="Times New Roman"/>
          <w:b/>
          <w:bCs/>
          <w:sz w:val="18"/>
          <w:szCs w:val="18"/>
        </w:rPr>
        <w:t xml:space="preserve"> = 1,000 rows. Concurrently, absolute-SHAP variance explodes by more than two orders of magnitude (0.022 → 5.04), the empirical signature of a single feature absorbing the explanation mass. The qualitative cliff is replicated on the IBM HR Analytics Employee Attrition corpus and a synthetic CRM Lead Scoring corpus. We then propose and implement </w:t>
      </w:r>
      <w:r>
        <w:rPr>
          <w:rFonts w:ascii="Times New Roman" w:cs="Times New Roman" w:eastAsia="Times New Roman" w:hAnsi="Times New Roman"/>
          <w:b/>
          <w:bCs/>
          <w:i/>
          <w:iCs/>
          <w:sz w:val="18"/>
          <w:szCs w:val="18"/>
        </w:rPr>
        <w:t xml:space="preserve">Maturity-Aware AI Routing</w:t>
      </w:r>
      <w:r>
        <w:rPr>
          <w:rFonts w:ascii="Times New Roman" w:cs="Times New Roman" w:eastAsia="Times New Roman" w:hAnsi="Times New Roman"/>
          <w:b/>
          <w:bCs/>
          <w:sz w:val="18"/>
          <w:szCs w:val="18"/>
        </w:rPr>
        <w:t xml:space="preserve">: a tier-logic gate (</w:t>
      </w:r>
      <w:r>
        <w:rPr>
          <w:rFonts w:ascii="Courier New" w:cs="Courier New" w:eastAsia="Courier New" w:hAnsi="Courier New"/>
          <w:b/>
          <w:bCs/>
          <w:sz w:val="18"/>
          <w:szCs w:val="18"/>
        </w:rPr>
        <w:t xml:space="preserve">predict_or_heuristic</w:t>
      </w:r>
      <w:r>
        <w:rPr>
          <w:rFonts w:ascii="Times New Roman" w:cs="Times New Roman" w:eastAsia="Times New Roman" w:hAnsi="Times New Roman"/>
          <w:b/>
          <w:bCs/>
          <w:sz w:val="18"/>
          <w:szCs w:val="18"/>
        </w:rPr>
        <w:t xml:space="preserve">) that, when </w:t>
      </w:r>
      <w:r>
        <w:rPr>
          <w:rFonts w:ascii="Times New Roman" w:cs="Times New Roman" w:eastAsia="Times New Roman" w:hAnsi="Times New Roman"/>
          <w:b/>
          <w:bCs/>
          <w:i/>
          <w:iCs/>
          <w:sz w:val="18"/>
          <w:szCs w:val="18"/>
        </w:rPr>
        <w:t xml:space="preserve">n</w:t>
      </w:r>
      <w:r>
        <w:rPr>
          <w:rFonts w:ascii="Times New Roman" w:cs="Times New Roman" w:eastAsia="Times New Roman" w:hAnsi="Times New Roman"/>
          <w:b/>
          <w:bCs/>
          <w:i/>
          <w:iCs/>
          <w:sz w:val="18"/>
          <w:szCs w:val="18"/>
          <w:vertAlign w:val="subscript"/>
        </w:rPr>
        <w:t xml:space="preserve">t</w:t>
      </w:r>
      <w:r>
        <w:rPr>
          <w:rFonts w:ascii="Times New Roman" w:cs="Times New Roman" w:eastAsia="Times New Roman" w:hAnsi="Times New Roman"/>
          <w:b/>
          <w:bCs/>
          <w:sz w:val="18"/>
          <w:szCs w:val="18"/>
        </w:rPr>
        <w:t xml:space="preserve"> ≤ 1,000, suppresses per-tenant local SHAP/LIME explanations and returns a serialised cross-tenant global heuristic derived from the data-rich reference. The pattern is additive, rollback-safe, and provides an auditable systems-level control consistent with emerging AI-accountability regulation. The empirical reliability cliff appears to be the first quantitative characterisation, in an ERP multi-tenant setting, of post-hoc XAI failure as a function of tenant data volume.</w:t>
      </w:r>
    </w:p>
    <w:p>
      <w:pPr>
        <w:spacing w:after="16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—Explainable AI, SHAP, LIME, multi-tenant SaaS, ERP, cold-start, data sparsity, reliability cliff, Maturity-Aware AI Routing.</w:t>
      </w:r>
    </w:p>
    <w:p>
      <w:pPr>
        <w:pStyle w:val="Heading1"/>
        <w:spacing w:after="120" w:before="220"/>
        <w:jc w:val="center"/>
      </w:pPr>
      <w:r>
        <w:rPr>
          <w:rFonts w:ascii="Times New Roman" w:cs="Times New Roman" w:eastAsia="Times New Roman" w:hAnsi="Times New Roman"/>
          <w:smallCaps/>
          <w:sz w:val="20"/>
          <w:szCs w:val="20"/>
        </w:rPr>
        <w:t xml:space="preserve">I.  Introduction</w:t>
      </w:r>
    </w:p>
    <w:p>
      <w:pPr>
        <w:jc w:val="both"/>
      </w:pPr>
      <w:r>
        <w:rPr>
          <w:rFonts w:ascii="Times New Roman" w:cs="Times New Roman" w:eastAsia="Times New Roman" w:hAnsi="Times New Roman"/>
          <w:sz w:val="20"/>
          <w:szCs w:val="20"/>
        </w:rPr>
        <w:t xml:space="preserve">Cloud-hosted multi-tenant ERP systems have become a routine substrate on which Small and Medium-sized Enterprises (SMEs) consume embedded predictive services—late-payment risk, lead scoring, employee attrition, inventory forecasting—through a per-tenant data isolation model. The dominant interpretability stack pairs gradient-boosted trees with post-hoc XAI tools, most commonly SHAP [1], [2] and LIME [3], on the assumption that local attributions produced for individual records can be safely surfaced to non-technical end users.</w:t>
      </w:r>
    </w:p>
    <w:p>
      <w:pPr>
        <w:ind w:firstLine="288"/>
        <w:jc w:val="both"/>
      </w:pPr>
      <w:r>
        <w:rPr>
          <w:rFonts w:ascii="Times New Roman" w:cs="Times New Roman" w:eastAsia="Times New Roman" w:hAnsi="Times New Roman"/>
          <w:sz w:val="20"/>
          <w:szCs w:val="20"/>
        </w:rPr>
        <w:t xml:space="preserve">This assumption is well-supported in the data-rich enterprise regime, but not in the cold-start regime that characterises the long tail of SaaS ERP adoption. New tenants typically begin with tens to a few hundred invoices, employees, or leads, and the per-tenant inference path of a shared model can be invoked at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t</w:t>
      </w:r>
      <w:r>
        <w:rPr>
          <w:rFonts w:ascii="Times New Roman" w:cs="Times New Roman" w:eastAsia="Times New Roman" w:hAnsi="Times New Roman"/>
          <w:sz w:val="20"/>
          <w:szCs w:val="20"/>
        </w:rPr>
        <w:t xml:space="preserve"> as low as a single-digit count. We show empirically that, in this regime, SHAP and LIME do not fail gracefully: they continue to emit attributions whose magnitudes, ranks, and natural-language framings are indistinguishable in form from those served to data-rich tenants, even when the model’s classifier behaviour has collapsed to near-random. We call this failure mode </w:t>
      </w:r>
      <w:r>
        <w:rPr>
          <w:rFonts w:ascii="Times New Roman" w:cs="Times New Roman" w:eastAsia="Times New Roman" w:hAnsi="Times New Roman"/>
          <w:i/>
          <w:iCs/>
          <w:sz w:val="20"/>
          <w:szCs w:val="20"/>
        </w:rPr>
        <w:t xml:space="preserve">hallucinated explanations</w:t>
      </w:r>
      <w:r>
        <w:rPr>
          <w:rFonts w:ascii="Times New Roman" w:cs="Times New Roman" w:eastAsia="Times New Roman" w:hAnsi="Times New Roman"/>
          <w:sz w:val="20"/>
          <w:szCs w:val="20"/>
        </w:rPr>
        <w:t xml:space="preserve">, by analogy with hallucinated text in generative models: structurally plausible output, epistemically empty.</w:t>
      </w:r>
    </w:p>
    <w:p>
      <w:pPr>
        <w:spacing w:after="60" w:before="100"/>
        <w:jc w:val="both"/>
      </w:pPr>
      <w:r>
        <w:rPr>
          <w:rFonts w:ascii="Times New Roman" w:cs="Times New Roman" w:eastAsia="Times New Roman" w:hAnsi="Times New Roman"/>
          <w:b/>
          <w:bCs/>
          <w:i/>
          <w:iCs/>
          <w:sz w:val="20"/>
          <w:szCs w:val="20"/>
        </w:rPr>
        <w:t xml:space="preserve">Contributions.</w:t>
      </w:r>
      <w:r>
        <w:rPr>
          <w:rFonts w:ascii="Times New Roman" w:cs="Times New Roman" w:eastAsia="Times New Roman" w:hAnsi="Times New Roman"/>
          <w:sz w:val="20"/>
          <w:szCs w:val="20"/>
        </w:rPr>
        <w:t xml:space="preserve"> This paper makes three contributions:</w:t>
      </w:r>
    </w:p>
    <w:p>
      <w:pPr>
        <w:pStyle w:val="ListParagraph"/>
        <w:numPr>
          <w:ilvl w:val="0"/>
          <w:numId w:val="2"/>
        </w:numPr>
        <w:spacing w:after="60"/>
        <w:jc w:val="both"/>
      </w:pPr>
      <w:r>
        <w:rPr>
          <w:rFonts w:ascii="Times New Roman" w:cs="Times New Roman" w:eastAsia="Times New Roman" w:hAnsi="Times New Roman"/>
          <w:b/>
          <w:bCs/>
          <w:sz w:val="20"/>
          <w:szCs w:val="20"/>
        </w:rPr>
        <w:t xml:space="preserve">Empirical.</w:t>
      </w:r>
      <w:r>
        <w:rPr>
          <w:rFonts w:ascii="Times New Roman" w:cs="Times New Roman" w:eastAsia="Times New Roman" w:hAnsi="Times New Roman"/>
          <w:sz w:val="20"/>
          <w:szCs w:val="20"/>
        </w:rPr>
        <w:t xml:space="preserve"> A controlled five-tier sparsity simulation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t</w:t>
      </w:r>
      <w:r>
        <w:rPr>
          <w:rFonts w:ascii="Times New Roman" w:cs="Times New Roman" w:eastAsia="Times New Roman" w:hAnsi="Times New Roman"/>
          <w:sz w:val="20"/>
          <w:szCs w:val="20"/>
        </w:rPr>
        <w:t xml:space="preserve"> ∈ {50,000, 5,000, 1,000, 200, 50}) on an ERP-style operational-risk task under a strict leakage-avoidance regime, showing that AUC-ROC is uninformative about XAI reliability and that baseline rank agreement of SHAP global importances crosses below ρ = 0.70 at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t</w:t>
      </w:r>
      <w:r>
        <w:rPr>
          <w:rFonts w:ascii="Times New Roman" w:cs="Times New Roman" w:eastAsia="Times New Roman" w:hAnsi="Times New Roman"/>
          <w:sz w:val="20"/>
          <w:szCs w:val="20"/>
        </w:rPr>
        <w:t xml:space="preserve"> = 1,000, accompanied by a ~225× inflation of absolute-SHAP variance at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t</w:t>
      </w:r>
      <w:r>
        <w:rPr>
          <w:rFonts w:ascii="Times New Roman" w:cs="Times New Roman" w:eastAsia="Times New Roman" w:hAnsi="Times New Roman"/>
          <w:sz w:val="20"/>
          <w:szCs w:val="20"/>
        </w:rPr>
        <w:t xml:space="preserve"> = 50. The cliff is replicated qualitatively on two additional ERP-native tasks.</w:t>
      </w:r>
    </w:p>
    <w:p>
      <w:pPr>
        <w:pStyle w:val="ListParagraph"/>
        <w:numPr>
          <w:ilvl w:val="0"/>
          <w:numId w:val="2"/>
        </w:numPr>
        <w:spacing w:after="60"/>
        <w:jc w:val="both"/>
      </w:pPr>
      <w:r>
        <w:rPr>
          <w:rFonts w:ascii="Times New Roman" w:cs="Times New Roman" w:eastAsia="Times New Roman" w:hAnsi="Times New Roman"/>
          <w:b/>
          <w:bCs/>
          <w:sz w:val="20"/>
          <w:szCs w:val="20"/>
        </w:rPr>
        <w:t xml:space="preserve">Conceptual.</w:t>
      </w:r>
      <w:r>
        <w:rPr>
          <w:rFonts w:ascii="Times New Roman" w:cs="Times New Roman" w:eastAsia="Times New Roman" w:hAnsi="Times New Roman"/>
          <w:sz w:val="20"/>
          <w:szCs w:val="20"/>
        </w:rPr>
        <w:t xml:space="preserve"> A reframing of post-hoc XAI evaluation in multi-tenant systems as a sparsity-conditioned reliability question rather than a per-record fidelity question, together with the explicit caveat that small-</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t</w:t>
      </w:r>
      <w:r>
        <w:rPr>
          <w:rFonts w:ascii="Times New Roman" w:cs="Times New Roman" w:eastAsia="Times New Roman" w:hAnsi="Times New Roman"/>
          <w:sz w:val="20"/>
          <w:szCs w:val="20"/>
        </w:rPr>
        <w:t xml:space="preserve"> Spearman against a reference tenant is a baseline rank agreement (not ground-truth fidelity).</w:t>
      </w:r>
    </w:p>
    <w:p>
      <w:pPr>
        <w:pStyle w:val="ListParagraph"/>
        <w:numPr>
          <w:ilvl w:val="0"/>
          <w:numId w:val="2"/>
        </w:numPr>
        <w:spacing w:after="120"/>
        <w:jc w:val="both"/>
      </w:pPr>
      <w:r>
        <w:rPr>
          <w:rFonts w:ascii="Times New Roman" w:cs="Times New Roman" w:eastAsia="Times New Roman" w:hAnsi="Times New Roman"/>
          <w:b/>
          <w:bCs/>
          <w:sz w:val="20"/>
          <w:szCs w:val="20"/>
        </w:rPr>
        <w:t xml:space="preserve">Architectural.</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Maturity-Aware AI Routing</w:t>
      </w:r>
      <w:r>
        <w:rPr>
          <w:rFonts w:ascii="Times New Roman" w:cs="Times New Roman" w:eastAsia="Times New Roman" w:hAnsi="Times New Roman"/>
          <w:sz w:val="20"/>
          <w:szCs w:val="20"/>
        </w:rPr>
        <w:t xml:space="preserve">, a rollback-safe, additive software pattern implemented in a Django 4.2 multi-tenant ERP. A single threshold constant, τ = 1,000, governs a tier-logic gate that returns a pre-computed global heuristic instead of local SHAP/LIME for cold-start tenants.</w:t>
      </w:r>
    </w:p>
    <w:p>
      <w:pPr>
        <w:pStyle w:val="Heading1"/>
        <w:spacing w:after="120" w:before="220"/>
        <w:jc w:val="center"/>
      </w:pPr>
      <w:r>
        <w:rPr>
          <w:rFonts w:ascii="Times New Roman" w:cs="Times New Roman" w:eastAsia="Times New Roman" w:hAnsi="Times New Roman"/>
          <w:smallCaps/>
          <w:sz w:val="20"/>
          <w:szCs w:val="20"/>
        </w:rPr>
        <w:t xml:space="preserve">II.  Related Work</w:t>
      </w:r>
    </w:p>
    <w:p>
      <w:pPr>
        <w:pStyle w:val="Heading2"/>
        <w:spacing w:after="100" w:before="180"/>
        <w:jc w:val="left"/>
      </w:pPr>
      <w:r>
        <w:rPr>
          <w:rFonts w:ascii="Times New Roman" w:cs="Times New Roman" w:eastAsia="Times New Roman" w:hAnsi="Times New Roman"/>
          <w:i/>
          <w:iCs/>
          <w:sz w:val="20"/>
          <w:szCs w:val="20"/>
        </w:rPr>
        <w:t xml:space="preserve">A. Post-hoc Explainability</w:t>
      </w:r>
    </w:p>
    <w:p>
      <w:pPr>
        <w:jc w:val="both"/>
      </w:pPr>
      <w:r>
        <w:rPr>
          <w:rFonts w:ascii="Times New Roman" w:cs="Times New Roman" w:eastAsia="Times New Roman" w:hAnsi="Times New Roman"/>
          <w:sz w:val="20"/>
          <w:szCs w:val="20"/>
        </w:rPr>
        <w:t xml:space="preserve">SHAP [1] provides game-theoretic attributions with desirable axiomatic properties (efficiency, symmetry, dummy, additivity), and TreeSHAP [2] makes them tractable for the gradient-boosted trees that dominate tabular ERP modelling. LIME’s local surrogate models [3] are widely used as a complementary, model-agnostic explanation. Both tools are sample-based: their reliability depends on having enough training instances around the record of interest. Where this assumption fails, the literature has warned of stability and faithfulness issues [4], [5], but published guidance has remained largely qualitative, without per-tenant operating thresholds.</w:t>
      </w:r>
    </w:p>
    <w:p>
      <w:pPr>
        <w:pStyle w:val="Heading2"/>
        <w:spacing w:after="100" w:before="180"/>
        <w:jc w:val="left"/>
      </w:pPr>
      <w:r>
        <w:rPr>
          <w:rFonts w:ascii="Times New Roman" w:cs="Times New Roman" w:eastAsia="Times New Roman" w:hAnsi="Times New Roman"/>
          <w:i/>
          <w:iCs/>
          <w:sz w:val="20"/>
          <w:szCs w:val="20"/>
        </w:rPr>
        <w:t xml:space="preserve">B. Multi-Tenant SaaS ML</w:t>
      </w:r>
    </w:p>
    <w:p>
      <w:pPr>
        <w:jc w:val="both"/>
      </w:pPr>
      <w:r>
        <w:rPr>
          <w:rFonts w:ascii="Times New Roman" w:cs="Times New Roman" w:eastAsia="Times New Roman" w:hAnsi="Times New Roman"/>
          <w:sz w:val="20"/>
          <w:szCs w:val="20"/>
        </w:rPr>
        <w:t xml:space="preserve">The systems literature on multi-tenant SaaS [6], [7] has emphasised resource isolation and schema-versus-row tenancy trade-offs. ERP-specific deployments [8] layer business processes on top, and recent industry analyses [9], [10] document the embedding of ML modules into mainstream ERPs. The combination—a shared model serving heterogeneous tenants of vastly different data volumes, each receiving local XAI—has not, to our knowledge, been empirically audited for cold-start XAI reliability.</w:t>
      </w:r>
    </w:p>
    <w:p>
      <w:pPr>
        <w:pStyle w:val="Heading2"/>
        <w:spacing w:after="100" w:before="180"/>
        <w:jc w:val="left"/>
      </w:pPr>
      <w:r>
        <w:rPr>
          <w:rFonts w:ascii="Times New Roman" w:cs="Times New Roman" w:eastAsia="Times New Roman" w:hAnsi="Times New Roman"/>
          <w:i/>
          <w:iCs/>
          <w:sz w:val="20"/>
          <w:szCs w:val="20"/>
        </w:rPr>
        <w:t xml:space="preserve">C. AI Accountability and Documentation</w:t>
      </w:r>
    </w:p>
    <w:p>
      <w:pPr>
        <w:jc w:val="both"/>
      </w:pPr>
      <w:r>
        <w:rPr>
          <w:rFonts w:ascii="Times New Roman" w:cs="Times New Roman" w:eastAsia="Times New Roman" w:hAnsi="Times New Roman"/>
          <w:sz w:val="20"/>
          <w:szCs w:val="20"/>
        </w:rPr>
        <w:t xml:space="preserve">Model Cards [11] and Datasheets for Datasets [12] address documentation of model provenance and intended use. The EU AI Act [13] imposes operational constraints on automated decisions in some ERP-adjacent contexts. Our architectural contribution is consistent with these trajectories: the cold-start gate produces an auditable response payload explicitly stating the mode (</w:t>
      </w:r>
      <w:r>
        <w:rPr>
          <w:rFonts w:ascii="Times New Roman" w:cs="Times New Roman" w:eastAsia="Times New Roman" w:hAnsi="Times New Roman"/>
          <w:i/>
          <w:iCs/>
          <w:sz w:val="20"/>
          <w:szCs w:val="20"/>
        </w:rPr>
        <w:t xml:space="preserve">local</w:t>
      </w:r>
      <w:r>
        <w:rPr>
          <w:rFonts w:ascii="Times New Roman" w:cs="Times New Roman" w:eastAsia="Times New Roman" w:hAnsi="Times New Roman"/>
          <w:sz w:val="20"/>
          <w:szCs w:val="20"/>
        </w:rPr>
        <w:t xml:space="preserve"> vs </w:t>
      </w:r>
      <w:r>
        <w:rPr>
          <w:rFonts w:ascii="Times New Roman" w:cs="Times New Roman" w:eastAsia="Times New Roman" w:hAnsi="Times New Roman"/>
          <w:i/>
          <w:iCs/>
          <w:sz w:val="20"/>
          <w:szCs w:val="20"/>
        </w:rPr>
        <w:t xml:space="preserve">global heuristic</w:t>
      </w:r>
      <w:r>
        <w:rPr>
          <w:rFonts w:ascii="Times New Roman" w:cs="Times New Roman" w:eastAsia="Times New Roman" w:hAnsi="Times New Roman"/>
          <w:sz w:val="20"/>
          <w:szCs w:val="20"/>
        </w:rPr>
        <w:t xml:space="preserve">), the threshold, and the tenant volume, allowing downstream auditors to distinguish a per-tenant prediction from a fallback.</w:t>
      </w:r>
    </w:p>
    <w:p>
      <w:pPr>
        <w:pStyle w:val="Heading1"/>
        <w:spacing w:after="120" w:before="220"/>
        <w:jc w:val="center"/>
      </w:pPr>
      <w:r>
        <w:rPr>
          <w:rFonts w:ascii="Times New Roman" w:cs="Times New Roman" w:eastAsia="Times New Roman" w:hAnsi="Times New Roman"/>
          <w:smallCaps/>
          <w:sz w:val="20"/>
          <w:szCs w:val="20"/>
        </w:rPr>
        <w:t xml:space="preserve">III.  Problem Formulation</w:t>
      </w:r>
    </w:p>
    <w:p>
      <w:pPr>
        <w:jc w:val="both"/>
      </w:pPr>
      <w:r>
        <w:rPr>
          <w:rFonts w:ascii="Times New Roman" w:cs="Times New Roman" w:eastAsia="Times New Roman" w:hAnsi="Times New Roman"/>
          <w:sz w:val="20"/>
          <w:szCs w:val="20"/>
        </w:rPr>
        <w:t xml:space="preserve">Let </w:t>
      </w:r>
      <w:r>
        <w:rPr>
          <w:rFonts w:ascii="Times New Roman" w:cs="Times New Roman" w:eastAsia="Times New Roman" w:hAnsi="Times New Roman"/>
          <w:i/>
          <w:iCs/>
          <w:sz w:val="20"/>
          <w:szCs w:val="20"/>
        </w:rPr>
        <w:t xml:space="preserve">𝒯</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₁,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iCs/>
          <w:sz w:val="20"/>
          <w:szCs w:val="20"/>
          <w:vertAlign w:val="subscript"/>
        </w:rPr>
        <w:t xml:space="preserve">m</w:t>
      </w:r>
      <w:r>
        <w:rPr>
          <w:rFonts w:ascii="Times New Roman" w:cs="Times New Roman" w:eastAsia="Times New Roman" w:hAnsi="Times New Roman"/>
          <w:sz w:val="20"/>
          <w:szCs w:val="20"/>
        </w:rPr>
        <w:t xml:space="preserve">} denote tenants of a multi-tenant ERP, each with historical record count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t</w:t>
      </w:r>
      <w:r>
        <w:rPr>
          <w:rFonts w:ascii="Times New Roman" w:cs="Times New Roman" w:eastAsia="Times New Roman" w:hAnsi="Times New Roman"/>
          <w:sz w:val="20"/>
          <w:szCs w:val="20"/>
        </w:rPr>
        <w:t xml:space="preserve">. A shared family of models </w:t>
      </w:r>
      <w:r>
        <w:rPr>
          <w:rFonts w:ascii="Times New Roman" w:cs="Times New Roman" w:eastAsia="Times New Roman" w:hAnsi="Times New Roman"/>
          <w:i/>
          <w:iCs/>
          <w:sz w:val="20"/>
          <w:szCs w:val="20"/>
        </w:rPr>
        <w:t xml:space="preserve">f</w:t>
      </w:r>
      <w:r>
        <w:rPr>
          <w:rFonts w:ascii="Times New Roman" w:cs="Times New Roman" w:eastAsia="Times New Roman" w:hAnsi="Times New Roman"/>
          <w:i/>
          <w:iCs/>
          <w:sz w:val="20"/>
          <w:szCs w:val="20"/>
          <w:vertAlign w:val="subscript"/>
        </w:rPr>
        <w:t xml:space="preserve">t</w:t>
      </w:r>
      <w:r>
        <w:rPr>
          <w:rFonts w:ascii="Times New Roman" w:cs="Times New Roman" w:eastAsia="Times New Roman" w:hAnsi="Times New Roman"/>
          <w:sz w:val="20"/>
          <w:szCs w:val="20"/>
        </w:rPr>
        <w:t xml:space="preserve"> : 𝒳 → [0,1] produces tenant-specific risk estimates; a per-tenant explainer </w:t>
      </w:r>
      <w:r>
        <w:rPr>
          <w:rFonts w:ascii="Times New Roman" w:cs="Times New Roman" w:eastAsia="Times New Roman" w:hAnsi="Times New Roman"/>
          <w:i/>
          <w:iCs/>
          <w:sz w:val="20"/>
          <w:szCs w:val="20"/>
        </w:rPr>
        <w:t xml:space="preserve">g</w:t>
      </w:r>
      <w:r>
        <w:rPr>
          <w:rFonts w:ascii="Times New Roman" w:cs="Times New Roman" w:eastAsia="Times New Roman" w:hAnsi="Times New Roman"/>
          <w:i/>
          <w:iCs/>
          <w:sz w:val="20"/>
          <w:szCs w:val="20"/>
          <w:vertAlign w:val="subscript"/>
        </w:rPr>
        <w:t xml:space="preserve">t</w:t>
      </w:r>
      <w:r>
        <w:rPr>
          <w:rFonts w:ascii="Times New Roman" w:cs="Times New Roman" w:eastAsia="Times New Roman" w:hAnsi="Times New Roman"/>
          <w:sz w:val="20"/>
          <w:szCs w:val="20"/>
        </w:rPr>
        <w:t xml:space="preserve"> : 𝒳 → ℝ</w:t>
      </w:r>
      <w:r>
        <w:rPr>
          <w:rFonts w:ascii="Times New Roman" w:cs="Times New Roman" w:eastAsia="Times New Roman" w:hAnsi="Times New Roman"/>
          <w:i/>
          <w:iCs/>
          <w:sz w:val="20"/>
          <w:szCs w:val="20"/>
          <w:vertAlign w:val="superscript"/>
        </w:rPr>
        <w:t xml:space="preserve">d</w:t>
      </w:r>
      <w:r>
        <w:rPr>
          <w:rFonts w:ascii="Times New Roman" w:cs="Times New Roman" w:eastAsia="Times New Roman" w:hAnsi="Times New Roman"/>
          <w:sz w:val="20"/>
          <w:szCs w:val="20"/>
        </w:rPr>
        <w:t xml:space="preserve"> returns local attributions over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features.</w:t>
      </w:r>
    </w:p>
    <w:p>
      <w:pPr>
        <w:ind w:firstLine="288"/>
        <w:jc w:val="both"/>
      </w:pPr>
      <w:r>
        <w:rPr>
          <w:rFonts w:ascii="Times New Roman" w:cs="Times New Roman" w:eastAsia="Times New Roman" w:hAnsi="Times New Roman"/>
          <w:sz w:val="20"/>
          <w:szCs w:val="20"/>
        </w:rPr>
        <w:t xml:space="preserve">We assume a strict leakage-avoidance feature regime: only observables available </w:t>
      </w:r>
      <w:r>
        <w:rPr>
          <w:rFonts w:ascii="Times New Roman" w:cs="Times New Roman" w:eastAsia="Times New Roman" w:hAnsi="Times New Roman"/>
          <w:i/>
          <w:iCs/>
          <w:sz w:val="20"/>
          <w:szCs w:val="20"/>
        </w:rPr>
        <w:t xml:space="preserve">at order time</w:t>
      </w:r>
      <w:r>
        <w:rPr>
          <w:rFonts w:ascii="Times New Roman" w:cs="Times New Roman" w:eastAsia="Times New Roman" w:hAnsi="Times New Roman"/>
          <w:sz w:val="20"/>
          <w:szCs w:val="20"/>
        </w:rPr>
        <w:t xml:space="preserve"> are admitted into 𝒳. For the primary Late Delivery Risk task on Olist, this excludes any post-shipment quantities (review timestamps, freight realisations, delivery deltas), and admits only order-time observables (freight pricing, item count, payment type, estimated delivery days, approval delay, purchase hour).</w:t>
      </w:r>
    </w:p>
    <w:p>
      <w:pPr>
        <w:spacing w:after="60"/>
        <w:ind w:firstLine="288"/>
        <w:jc w:val="both"/>
      </w:pPr>
      <w:r>
        <w:rPr>
          <w:rFonts w:ascii="Times New Roman" w:cs="Times New Roman" w:eastAsia="Times New Roman" w:hAnsi="Times New Roman"/>
          <w:sz w:val="20"/>
          <w:szCs w:val="20"/>
        </w:rPr>
        <w:t xml:space="preserve">We define three sparsity-conditioned reliability metrics for the explanation system:</w:t>
      </w:r>
    </w:p>
    <w:p>
      <w:pPr>
        <w:pStyle w:val="ListParagraph"/>
        <w:numPr>
          <w:ilvl w:val="0"/>
          <w:numId w:val="3"/>
        </w:numPr>
        <w:spacing w:after="60"/>
        <w:jc w:val="both"/>
      </w:pPr>
      <w:r>
        <w:rPr>
          <w:rFonts w:ascii="Times New Roman" w:cs="Times New Roman" w:eastAsia="Times New Roman" w:hAnsi="Times New Roman"/>
          <w:b/>
          <w:bCs/>
          <w:sz w:val="20"/>
          <w:szCs w:val="20"/>
        </w:rPr>
        <w:t xml:space="preserve">Baseline rank agreement</w:t>
      </w:r>
      <w:r>
        <w:rPr>
          <w:rFonts w:ascii="Times New Roman" w:cs="Times New Roman" w:eastAsia="Times New Roman" w:hAnsi="Times New Roman"/>
          <w:sz w:val="20"/>
          <w:szCs w:val="20"/>
        </w:rPr>
        <w:t xml:space="preserve"> ρ</w:t>
      </w:r>
      <w:r>
        <w:rPr>
          <w:rFonts w:ascii="Times New Roman" w:cs="Times New Roman" w:eastAsia="Times New Roman" w:hAnsi="Times New Roman"/>
          <w:i/>
          <w:iCs/>
          <w:sz w:val="20"/>
          <w:szCs w:val="20"/>
          <w:vertAlign w:val="subscript"/>
        </w:rPr>
        <w:t xml:space="preserve">t</w:t>
      </w:r>
      <w:r>
        <w:rPr>
          <w:rFonts w:ascii="Times New Roman" w:cs="Times New Roman" w:eastAsia="Times New Roman" w:hAnsi="Times New Roman"/>
          <w:sz w:val="20"/>
          <w:szCs w:val="20"/>
        </w:rPr>
        <w:t xml:space="preserve"> = Spearman(φ</w:t>
      </w:r>
      <w:r>
        <w:rPr>
          <w:rFonts w:ascii="Times New Roman" w:cs="Times New Roman" w:eastAsia="Times New Roman" w:hAnsi="Times New Roman"/>
          <w:i/>
          <w:iCs/>
          <w:sz w:val="20"/>
          <w:szCs w:val="20"/>
          <w:vertAlign w:val="subscript"/>
        </w:rPr>
        <w:t xml:space="preserve">t</w:t>
      </w:r>
      <w:r>
        <w:rPr>
          <w:rFonts w:ascii="Times New Roman" w:cs="Times New Roman" w:eastAsia="Times New Roman" w:hAnsi="Times New Roman"/>
          <w:sz w:val="20"/>
          <w:szCs w:val="20"/>
        </w:rPr>
        <w:t xml:space="preserve">, φ</w:t>
      </w:r>
      <w:r>
        <w:rPr>
          <w:rFonts w:ascii="Times New Roman" w:cs="Times New Roman" w:eastAsia="Times New Roman" w:hAnsi="Times New Roman"/>
          <w:i/>
          <w:iCs/>
          <w:sz w:val="20"/>
          <w:szCs w:val="20"/>
          <w:vertAlign w:val="subscript"/>
        </w:rPr>
        <w:t xml:space="preserve">t*</w:t>
      </w:r>
      <w:r>
        <w:rPr>
          <w:rFonts w:ascii="Times New Roman" w:cs="Times New Roman" w:eastAsia="Times New Roman" w:hAnsi="Times New Roman"/>
          <w:sz w:val="20"/>
          <w:szCs w:val="20"/>
        </w:rPr>
        <w:t xml:space="preserve">), where φ</w:t>
      </w:r>
      <w:r>
        <w:rPr>
          <w:rFonts w:ascii="Times New Roman" w:cs="Times New Roman" w:eastAsia="Times New Roman" w:hAnsi="Times New Roman"/>
          <w:i/>
          <w:iCs/>
          <w:sz w:val="20"/>
          <w:szCs w:val="20"/>
          <w:vertAlign w:val="subscript"/>
        </w:rPr>
        <w:t xml:space="preserve">t</w:t>
      </w:r>
      <w:r>
        <w:rPr>
          <w:rFonts w:ascii="Times New Roman" w:cs="Times New Roman" w:eastAsia="Times New Roman" w:hAnsi="Times New Roman"/>
          <w:sz w:val="20"/>
          <w:szCs w:val="20"/>
        </w:rPr>
        <w:t xml:space="preserve"> is the global mean-absolute-SHAP feature-importance vector of tenant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is the data-rich reference tenant. This is not a ground-truth fidelity claim; it is a reference-aligned explanation-stability measure.</w:t>
      </w:r>
    </w:p>
    <w:p>
      <w:pPr>
        <w:pStyle w:val="ListParagraph"/>
        <w:numPr>
          <w:ilvl w:val="0"/>
          <w:numId w:val="3"/>
        </w:numPr>
        <w:spacing w:after="60"/>
        <w:jc w:val="both"/>
      </w:pPr>
      <w:r>
        <w:rPr>
          <w:rFonts w:ascii="Times New Roman" w:cs="Times New Roman" w:eastAsia="Times New Roman" w:hAnsi="Times New Roman"/>
          <w:b/>
          <w:bCs/>
          <w:sz w:val="20"/>
          <w:szCs w:val="20"/>
        </w:rPr>
        <w:t xml:space="preserve">Absolute-SHAP variance</w:t>
      </w:r>
      <w:r>
        <w:rPr>
          <w:rFonts w:ascii="Times New Roman" w:cs="Times New Roman" w:eastAsia="Times New Roman" w:hAnsi="Times New Roman"/>
          <w:sz w:val="20"/>
          <w:szCs w:val="20"/>
        </w:rPr>
        <w:t xml:space="preserve"> σ²</w:t>
      </w:r>
      <w:r>
        <w:rPr>
          <w:rFonts w:ascii="Times New Roman" w:cs="Times New Roman" w:eastAsia="Times New Roman" w:hAnsi="Times New Roman"/>
          <w:i/>
          <w:iCs/>
          <w:sz w:val="20"/>
          <w:szCs w:val="20"/>
          <w:vertAlign w:val="subscript"/>
        </w:rPr>
        <w:t xml:space="preserve">t</w:t>
      </w:r>
      <w:r>
        <w:rPr>
          <w:rFonts w:ascii="Times New Roman" w:cs="Times New Roman" w:eastAsia="Times New Roman" w:hAnsi="Times New Roman"/>
          <w:sz w:val="20"/>
          <w:szCs w:val="20"/>
        </w:rPr>
        <w:t xml:space="preserve"> = Var(|φ</w:t>
      </w:r>
      <w:r>
        <w:rPr>
          <w:rFonts w:ascii="Times New Roman" w:cs="Times New Roman" w:eastAsia="Times New Roman" w:hAnsi="Times New Roman"/>
          <w:i/>
          <w:iCs/>
          <w:sz w:val="20"/>
          <w:szCs w:val="20"/>
          <w:vertAlign w:val="subscript"/>
        </w:rPr>
        <w:t xml:space="preserve">t</w:t>
      </w:r>
      <w:r>
        <w:rPr>
          <w:rFonts w:ascii="Times New Roman" w:cs="Times New Roman" w:eastAsia="Times New Roman" w:hAnsi="Times New Roman"/>
          <w:sz w:val="20"/>
          <w:szCs w:val="20"/>
        </w:rPr>
        <w:t xml:space="preserve">|), a concentration index for the explanation mass.</w:t>
      </w:r>
    </w:p>
    <w:p>
      <w:pPr>
        <w:pStyle w:val="ListParagraph"/>
        <w:numPr>
          <w:ilvl w:val="0"/>
          <w:numId w:val="3"/>
        </w:numPr>
        <w:spacing w:after="100"/>
        <w:jc w:val="both"/>
      </w:pPr>
      <w:r>
        <w:rPr>
          <w:rFonts w:ascii="Times New Roman" w:cs="Times New Roman" w:eastAsia="Times New Roman" w:hAnsi="Times New Roman"/>
          <w:b/>
          <w:bCs/>
          <w:sz w:val="20"/>
          <w:szCs w:val="20"/>
        </w:rPr>
        <w:t xml:space="preserve">LIME top-</w:t>
      </w:r>
      <w:r>
        <w:rPr>
          <w:rFonts w:ascii="Times New Roman" w:cs="Times New Roman" w:eastAsia="Times New Roman" w:hAnsi="Times New Roman"/>
          <w:b/>
          <w:bCs/>
          <w:i/>
          <w:iCs/>
          <w:sz w:val="20"/>
          <w:szCs w:val="20"/>
        </w:rPr>
        <w:t xml:space="preserve">k</w:t>
      </w:r>
      <w:r>
        <w:rPr>
          <w:rFonts w:ascii="Times New Roman" w:cs="Times New Roman" w:eastAsia="Times New Roman" w:hAnsi="Times New Roman"/>
          <w:b/>
          <w:bCs/>
          <w:sz w:val="20"/>
          <w:szCs w:val="20"/>
        </w:rPr>
        <w:t xml:space="preserve"> Jaccard stability</w:t>
      </w:r>
      <w:r>
        <w:rPr>
          <w:rFonts w:ascii="Times New Roman" w:cs="Times New Roman" w:eastAsia="Times New Roman" w:hAnsi="Times New Roman"/>
          <w:sz w:val="20"/>
          <w:szCs w:val="20"/>
        </w:rPr>
        <w:t xml:space="preserve"> across resampled explanations of the same record,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5.</w:t>
      </w:r>
    </w:p>
    <w:p>
      <w:pPr>
        <w:jc w:val="both"/>
      </w:pPr>
      <w:r>
        <w:rPr>
          <w:rFonts w:ascii="Times New Roman" w:cs="Times New Roman" w:eastAsia="Times New Roman" w:hAnsi="Times New Roman"/>
          <w:sz w:val="20"/>
          <w:szCs w:val="20"/>
        </w:rPr>
        <w:t xml:space="preserve">The architectural question is whether there exists a tenant-size threshold τ below which these metrics jointly indicate that per-tenant local explanations should be suppressed in favour of a global fallback.</w:t>
      </w:r>
    </w:p>
    <w:p>
      <w:pPr>
        <w:pStyle w:val="Heading1"/>
        <w:spacing w:after="120" w:before="220"/>
        <w:jc w:val="center"/>
      </w:pPr>
      <w:r>
        <w:rPr>
          <w:rFonts w:ascii="Times New Roman" w:cs="Times New Roman" w:eastAsia="Times New Roman" w:hAnsi="Times New Roman"/>
          <w:smallCaps/>
          <w:sz w:val="20"/>
          <w:szCs w:val="20"/>
        </w:rPr>
        <w:t xml:space="preserve">IV.  Methodology</w:t>
      </w:r>
    </w:p>
    <w:p>
      <w:pPr>
        <w:pStyle w:val="Heading2"/>
        <w:spacing w:after="100" w:before="180"/>
        <w:jc w:val="left"/>
      </w:pPr>
      <w:r>
        <w:rPr>
          <w:rFonts w:ascii="Times New Roman" w:cs="Times New Roman" w:eastAsia="Times New Roman" w:hAnsi="Times New Roman"/>
          <w:i/>
          <w:iCs/>
          <w:sz w:val="20"/>
          <w:szCs w:val="20"/>
        </w:rPr>
        <w:t xml:space="preserve">A. Datasets and Tiering</w:t>
      </w:r>
    </w:p>
    <w:p>
      <w:pPr>
        <w:jc w:val="both"/>
      </w:pPr>
      <w:r>
        <w:rPr>
          <w:rFonts w:ascii="Times New Roman" w:cs="Times New Roman" w:eastAsia="Times New Roman" w:hAnsi="Times New Roman"/>
          <w:sz w:val="20"/>
          <w:szCs w:val="20"/>
        </w:rPr>
        <w:t xml:space="preserve">The primary study uses the Brazilian Olist e-commerce corpus (~99,000 orders). The binary target is</w:t>
      </w:r>
    </w:p>
    <w:p>
      <w:pPr>
        <w:spacing w:after="80" w:before="80"/>
        <w:jc w:val="center"/>
      </w:pP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1</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delivered_customer_date</w:t>
      </w:r>
      <w:r>
        <w:rPr>
          <w:rFonts w:ascii="Times New Roman" w:cs="Times New Roman" w:eastAsia="Times New Roman" w:hAnsi="Times New Roman"/>
          <w:sz w:val="20"/>
          <w:szCs w:val="20"/>
        </w:rPr>
        <w:t xml:space="preserve"> &gt; </w:t>
      </w:r>
      <w:r>
        <w:rPr>
          <w:rFonts w:ascii="Times New Roman" w:cs="Times New Roman" w:eastAsia="Times New Roman" w:hAnsi="Times New Roman"/>
          <w:i/>
          <w:iCs/>
          <w:sz w:val="20"/>
          <w:szCs w:val="20"/>
        </w:rPr>
        <w:t xml:space="preserve">estimated_delivery_date</w:t>
      </w:r>
      <w:r>
        <w:rPr>
          <w:rFonts w:ascii="Times New Roman" w:cs="Times New Roman" w:eastAsia="Times New Roman" w:hAnsi="Times New Roman"/>
          <w:sz w:val="20"/>
          <w:szCs w:val="20"/>
        </w:rPr>
        <w:t xml:space="preserve">],</w:t>
      </w:r>
    </w:p>
    <w:p>
      <w:pPr>
        <w:jc w:val="both"/>
      </w:pPr>
      <w:r>
        <w:rPr>
          <w:rFonts w:ascii="Times New Roman" w:cs="Times New Roman" w:eastAsia="Times New Roman" w:hAnsi="Times New Roman"/>
          <w:sz w:val="20"/>
          <w:szCs w:val="20"/>
        </w:rPr>
        <w:t xml:space="preserve">operationalised as a structural proxy for ERP-style operational-risk prediction and explicitly generalised to the studied platform’s late-payment module (the systems gate, the global-heuristic artefact, and the response schema are identical in either substrate).</w:t>
      </w:r>
    </w:p>
    <w:p>
      <w:pPr>
        <w:ind w:firstLine="288"/>
        <w:jc w:val="both"/>
      </w:pPr>
      <w:r>
        <w:rPr>
          <w:rFonts w:ascii="Times New Roman" w:cs="Times New Roman" w:eastAsia="Times New Roman" w:hAnsi="Times New Roman"/>
          <w:sz w:val="20"/>
          <w:szCs w:val="20"/>
        </w:rPr>
        <w:t xml:space="preserve">Five tenant tiers are simulated by stratified down-sampling: </w:t>
      </w: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50,000, reference), </w:t>
      </w:r>
      <w:r>
        <w:rPr>
          <w:rFonts w:ascii="Times New Roman" w:cs="Times New Roman" w:eastAsia="Times New Roman" w:hAnsi="Times New Roman"/>
          <w:b/>
          <w:bCs/>
          <w:sz w:val="20"/>
          <w:szCs w:val="20"/>
        </w:rPr>
        <w:t xml:space="preserve">B</w:t>
      </w:r>
      <w:r>
        <w:rPr>
          <w:rFonts w:ascii="Times New Roman" w:cs="Times New Roman" w:eastAsia="Times New Roman" w:hAnsi="Times New Roman"/>
          <w:sz w:val="20"/>
          <w:szCs w:val="20"/>
        </w:rPr>
        <w:t xml:space="preserve"> (5,000), </w:t>
      </w:r>
      <w:r>
        <w:rPr>
          <w:rFonts w:ascii="Times New Roman" w:cs="Times New Roman" w:eastAsia="Times New Roman" w:hAnsi="Times New Roman"/>
          <w:b/>
          <w:bCs/>
          <w:sz w:val="20"/>
          <w:szCs w:val="20"/>
        </w:rPr>
        <w:t xml:space="preserve">C</w:t>
      </w:r>
      <w:r>
        <w:rPr>
          <w:rFonts w:ascii="Times New Roman" w:cs="Times New Roman" w:eastAsia="Times New Roman" w:hAnsi="Times New Roman"/>
          <w:sz w:val="20"/>
          <w:szCs w:val="20"/>
        </w:rPr>
        <w:t xml:space="preserve"> (1,000), </w:t>
      </w:r>
      <w:r>
        <w:rPr>
          <w:rFonts w:ascii="Times New Roman" w:cs="Times New Roman" w:eastAsia="Times New Roman" w:hAnsi="Times New Roman"/>
          <w:b/>
          <w:bCs/>
          <w:sz w:val="20"/>
          <w:szCs w:val="20"/>
        </w:rPr>
        <w:t xml:space="preserve">D</w:t>
      </w:r>
      <w:r>
        <w:rPr>
          <w:rFonts w:ascii="Times New Roman" w:cs="Times New Roman" w:eastAsia="Times New Roman" w:hAnsi="Times New Roman"/>
          <w:sz w:val="20"/>
          <w:szCs w:val="20"/>
        </w:rPr>
        <w:t xml:space="preserve"> (200), </w:t>
      </w:r>
      <w:r>
        <w:rPr>
          <w:rFonts w:ascii="Times New Roman" w:cs="Times New Roman" w:eastAsia="Times New Roman" w:hAnsi="Times New Roman"/>
          <w:b/>
          <w:bCs/>
          <w:sz w:val="20"/>
          <w:szCs w:val="20"/>
        </w:rPr>
        <w:t xml:space="preserve">E</w:t>
      </w:r>
      <w:r>
        <w:rPr>
          <w:rFonts w:ascii="Times New Roman" w:cs="Times New Roman" w:eastAsia="Times New Roman" w:hAnsi="Times New Roman"/>
          <w:sz w:val="20"/>
          <w:szCs w:val="20"/>
        </w:rPr>
        <w:t xml:space="preserve"> (50). Class prevalence and the global hold-out evaluation set are held constant across tiers, isolating data volume as the manipulated variable.</w:t>
      </w:r>
    </w:p>
    <w:p>
      <w:pPr>
        <w:pStyle w:val="Heading2"/>
        <w:spacing w:after="100" w:before="180"/>
        <w:jc w:val="left"/>
      </w:pPr>
      <w:r>
        <w:rPr>
          <w:rFonts w:ascii="Times New Roman" w:cs="Times New Roman" w:eastAsia="Times New Roman" w:hAnsi="Times New Roman"/>
          <w:i/>
          <w:iCs/>
          <w:sz w:val="20"/>
          <w:szCs w:val="20"/>
        </w:rPr>
        <w:t xml:space="preserve">B. Cross-Task Replication</w:t>
      </w:r>
    </w:p>
    <w:p>
      <w:pPr>
        <w:jc w:val="both"/>
      </w:pPr>
      <w:r>
        <w:rPr>
          <w:rFonts w:ascii="Times New Roman" w:cs="Times New Roman" w:eastAsia="Times New Roman" w:hAnsi="Times New Roman"/>
          <w:sz w:val="20"/>
          <w:szCs w:val="20"/>
        </w:rPr>
        <w:t xml:space="preserve">To probe external validity, the same pipeline (down-sampling protocol, leakage screen, evaluation harness) is re-run on: (i) </w:t>
      </w:r>
      <w:r>
        <w:rPr>
          <w:rFonts w:ascii="Times New Roman" w:cs="Times New Roman" w:eastAsia="Times New Roman" w:hAnsi="Times New Roman"/>
          <w:b/>
          <w:bCs/>
          <w:sz w:val="20"/>
          <w:szCs w:val="20"/>
        </w:rPr>
        <w:t xml:space="preserve">IBM HR Analytics Employee Attrition</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1,470, public), on tiers 1,470 / 500 / 200 / 50, and (ii) </w:t>
      </w:r>
      <w:r>
        <w:rPr>
          <w:rFonts w:ascii="Times New Roman" w:cs="Times New Roman" w:eastAsia="Times New Roman" w:hAnsi="Times New Roman"/>
          <w:b/>
          <w:bCs/>
          <w:sz w:val="20"/>
          <w:szCs w:val="20"/>
        </w:rPr>
        <w:t xml:space="preserve">Synthetic CRM Lead Scoring</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5,000, generated; 34 features post-encoding, 21.3% prevalence; conversion timestamps and PII removed pre-encoding as leakage controls).</w:t>
      </w:r>
    </w:p>
    <w:p>
      <w:pPr>
        <w:pStyle w:val="Heading2"/>
        <w:spacing w:after="100" w:before="180"/>
        <w:jc w:val="left"/>
      </w:pPr>
      <w:r>
        <w:rPr>
          <w:rFonts w:ascii="Times New Roman" w:cs="Times New Roman" w:eastAsia="Times New Roman" w:hAnsi="Times New Roman"/>
          <w:i/>
          <w:iCs/>
          <w:sz w:val="20"/>
          <w:szCs w:val="20"/>
        </w:rPr>
        <w:t xml:space="preserve">C. Models and Explainers</w:t>
      </w:r>
    </w:p>
    <w:p>
      <w:pPr>
        <w:jc w:val="both"/>
      </w:pPr>
      <w:r>
        <w:rPr>
          <w:rFonts w:ascii="Times New Roman" w:cs="Times New Roman" w:eastAsia="Times New Roman" w:hAnsi="Times New Roman"/>
          <w:sz w:val="20"/>
          <w:szCs w:val="20"/>
        </w:rPr>
        <w:t xml:space="preserve">For the primary study and HR Attrition, the classifier is a </w:t>
      </w:r>
      <w:r>
        <w:rPr>
          <w:rFonts w:ascii="Courier New" w:cs="Courier New" w:eastAsia="Courier New" w:hAnsi="Courier New"/>
          <w:sz w:val="20"/>
          <w:szCs w:val="20"/>
        </w:rPr>
        <w:t xml:space="preserve">GradientBoostingClassifier</w:t>
      </w:r>
      <w:r>
        <w:rPr>
          <w:rFonts w:ascii="Times New Roman" w:cs="Times New Roman" w:eastAsia="Times New Roman" w:hAnsi="Times New Roman"/>
          <w:sz w:val="20"/>
          <w:szCs w:val="20"/>
        </w:rPr>
        <w:t xml:space="preserve"> (scikit-learn) with default hyperparameters; for CRM Lead Scoring, a tuned configuration (</w:t>
      </w:r>
      <w:r>
        <w:rPr>
          <w:rFonts w:ascii="Courier New" w:cs="Courier New" w:eastAsia="Courier New" w:hAnsi="Courier New"/>
          <w:sz w:val="20"/>
          <w:szCs w:val="20"/>
        </w:rPr>
        <w:t xml:space="preserve">n_estimators</w:t>
      </w:r>
      <w:r>
        <w:rPr>
          <w:rFonts w:ascii="Times New Roman" w:cs="Times New Roman" w:eastAsia="Times New Roman" w:hAnsi="Times New Roman"/>
          <w:sz w:val="20"/>
          <w:szCs w:val="20"/>
        </w:rPr>
        <w:t xml:space="preserve"> = 200, </w:t>
      </w:r>
      <w:r>
        <w:rPr>
          <w:rFonts w:ascii="Courier New" w:cs="Courier New" w:eastAsia="Courier New" w:hAnsi="Courier New"/>
          <w:sz w:val="20"/>
          <w:szCs w:val="20"/>
        </w:rPr>
        <w:t xml:space="preserve">max_depth</w:t>
      </w:r>
      <w:r>
        <w:rPr>
          <w:rFonts w:ascii="Times New Roman" w:cs="Times New Roman" w:eastAsia="Times New Roman" w:hAnsi="Times New Roman"/>
          <w:sz w:val="20"/>
          <w:szCs w:val="20"/>
        </w:rPr>
        <w:t xml:space="preserve"> = 3, </w:t>
      </w:r>
      <w:r>
        <w:rPr>
          <w:rFonts w:ascii="Courier New" w:cs="Courier New" w:eastAsia="Courier New" w:hAnsi="Courier New"/>
          <w:sz w:val="20"/>
          <w:szCs w:val="20"/>
        </w:rPr>
        <w:t xml:space="preserve">learning_rate</w:t>
      </w:r>
      <w:r>
        <w:rPr>
          <w:rFonts w:ascii="Times New Roman" w:cs="Times New Roman" w:eastAsia="Times New Roman" w:hAnsi="Times New Roman"/>
          <w:sz w:val="20"/>
          <w:szCs w:val="20"/>
        </w:rPr>
        <w:t xml:space="preserve"> = 0.05) chosen on the data-rich tier. Explanations are computed with TreeExplainer (SHAP) for global rank correlation and variance, and </w:t>
      </w:r>
      <w:r>
        <w:rPr>
          <w:rFonts w:ascii="Courier New" w:cs="Courier New" w:eastAsia="Courier New" w:hAnsi="Courier New"/>
          <w:sz w:val="20"/>
          <w:szCs w:val="20"/>
        </w:rPr>
        <w:t xml:space="preserve">LimeTabular</w:t>
      </w:r>
      <w:r>
        <w:rPr>
          <w:rFonts w:ascii="Times New Roman" w:cs="Times New Roman" w:eastAsia="Times New Roman" w:hAnsi="Times New Roman"/>
          <w:sz w:val="20"/>
          <w:szCs w:val="20"/>
        </w:rPr>
        <w:t xml:space="preserve"> for top-</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Jaccard.</w:t>
      </w:r>
    </w:p>
    <w:p>
      <w:pPr>
        <w:pStyle w:val="Heading2"/>
        <w:spacing w:after="100" w:before="180"/>
        <w:jc w:val="left"/>
      </w:pPr>
      <w:r>
        <w:rPr>
          <w:rFonts w:ascii="Times New Roman" w:cs="Times New Roman" w:eastAsia="Times New Roman" w:hAnsi="Times New Roman"/>
          <w:i/>
          <w:iCs/>
          <w:sz w:val="20"/>
          <w:szCs w:val="20"/>
        </w:rPr>
        <w:t xml:space="preserve">D. Routing Architecture</w:t>
      </w:r>
    </w:p>
    <w:p>
      <w:pPr>
        <w:jc w:val="both"/>
      </w:pPr>
      <w:r>
        <w:rPr>
          <w:rFonts w:ascii="Times New Roman" w:cs="Times New Roman" w:eastAsia="Times New Roman" w:hAnsi="Times New Roman"/>
          <w:sz w:val="20"/>
          <w:szCs w:val="20"/>
        </w:rPr>
        <w:t xml:space="preserve">The routing rule is</w:t>
      </w:r>
    </w:p>
    <w:p>
      <w:pPr>
        <w:tabs>
          <w:tab w:val="right" w:pos="4860"/>
        </w:tabs>
        <w:spacing w:after="0" w:before="80"/>
        <w:jc w:val="center"/>
      </w:pPr>
      <w:r>
        <w:rPr>
          <w:rFonts w:ascii="Times New Roman" w:cs="Times New Roman" w:eastAsia="Times New Roman" w:hAnsi="Times New Roman"/>
          <w:sz w:val="20"/>
          <w:szCs w:val="20"/>
        </w:rPr>
        <w:t xml:space="preserve">explain(</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w:t>
      </w:r>
      <w:r>
        <w:rPr>
          <w:rFonts w:ascii="Courier New" w:cs="Courier New" w:eastAsia="Courier New" w:hAnsi="Courier New"/>
          <w:sz w:val="20"/>
          <w:szCs w:val="20"/>
        </w:rPr>
        <w:t xml:space="preserve">GlobalHeuristic</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if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t</w:t>
      </w:r>
      <w:r>
        <w:rPr>
          <w:rFonts w:ascii="Times New Roman" w:cs="Times New Roman" w:eastAsia="Times New Roman" w:hAnsi="Times New Roman"/>
          <w:sz w:val="20"/>
          <w:szCs w:val="20"/>
        </w:rPr>
        <w:t xml:space="preserve"> ≤ τ,</w:t>
      </w:r>
    </w:p>
    <w:p>
      <w:pPr>
        <w:tabs>
          <w:tab w:val="right" w:pos="4860"/>
        </w:tabs>
        <w:spacing w:after="80" w:before="0"/>
        <w:jc w:val="center"/>
      </w:pPr>
      <w:r>
        <w:rPr>
          <w:rFonts w:ascii="Times New Roman" w:cs="Times New Roman" w:eastAsia="Times New Roman" w:hAnsi="Times New Roman"/>
          <w:sz w:val="20"/>
          <w:szCs w:val="20"/>
        </w:rPr>
        <w:t xml:space="preserve">explain(</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w:t>
      </w:r>
      <w:r>
        <w:rPr>
          <w:rFonts w:ascii="Courier New" w:cs="Courier New" w:eastAsia="Courier New" w:hAnsi="Courier New"/>
          <w:sz w:val="20"/>
          <w:szCs w:val="20"/>
        </w:rPr>
        <w:t xml:space="preserve">LocalShapLime</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otherwise,</w:t>
      </w:r>
      <w:r>
        <w:rPr>
          <w:rFonts w:ascii="Times New Roman" w:cs="Times New Roman" w:eastAsia="Times New Roman" w:hAnsi="Times New Roman"/>
          <w:sz w:val="20"/>
          <w:szCs w:val="20"/>
        </w:rPr>
        <w:t xml:space="preserve">	(1)</w:t>
      </w:r>
    </w:p>
    <w:p>
      <w:pPr>
        <w:jc w:val="both"/>
      </w:pPr>
      <w:r>
        <w:rPr>
          <w:rFonts w:ascii="Times New Roman" w:cs="Times New Roman" w:eastAsia="Times New Roman" w:hAnsi="Times New Roman"/>
          <w:sz w:val="20"/>
          <w:szCs w:val="20"/>
        </w:rPr>
        <w:t xml:space="preserve">with τ = 1,000 (Fig. 1). Under the inclusive boundary, the equivalent code-side constant in the Django implementation is </w:t>
      </w:r>
      <w:r>
        <w:rPr>
          <w:rFonts w:ascii="Courier New" w:cs="Courier New" w:eastAsia="Courier New" w:hAnsi="Courier New"/>
          <w:sz w:val="20"/>
          <w:szCs w:val="20"/>
        </w:rPr>
        <w:t xml:space="preserve">MIN_LOCAL_EXPLANATION_RECORDS</w:t>
      </w:r>
      <w:r>
        <w:rPr>
          <w:rFonts w:ascii="Times New Roman" w:cs="Times New Roman" w:eastAsia="Times New Roman" w:hAnsi="Times New Roman"/>
          <w:sz w:val="20"/>
          <w:szCs w:val="20"/>
        </w:rPr>
        <w:t xml:space="preserve"> = 1,001.</w:t>
      </w:r>
    </w:p>
    <w:p>
      <w:pPr>
        <w:spacing w:after="40" w:before="160"/>
        <w:jc w:val="center"/>
      </w:pPr>
      <w:r>
        <w:drawing>
          <wp:inline distT="0" distB="0" distL="0" distR="0">
            <wp:extent cx="2971800" cy="1800225"/>
            <wp:effectExtent t="0" r="0" b="0" l="0"/>
            <wp:docPr id="1" name="Maturity-Aware AI Routing gate" descr="Maturity-Aware AI Routing gate" title="Maturity-Aware AI Routing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971800" cy="1800225"/>
                    </a:xfrm>
                    <a:prstGeom prst="rect">
                      <a:avLst/>
                    </a:prstGeom>
                  </pic:spPr>
                </pic:pic>
              </a:graphicData>
            </a:graphic>
          </wp:inline>
        </w:drawing>
      </w:r>
    </w:p>
    <w:p>
      <w:pPr>
        <w:spacing w:after="160" w:before="80"/>
        <w:jc w:val="both"/>
      </w:pPr>
      <w:r>
        <w:rPr>
          <w:rFonts w:ascii="Times New Roman" w:cs="Times New Roman" w:eastAsia="Times New Roman" w:hAnsi="Times New Roman"/>
          <w:sz w:val="18"/>
          <w:szCs w:val="18"/>
        </w:rPr>
        <w:t xml:space="preserve">Fig. 1.  Maturity-Aware AI Routing gate. Inclusive boundary </w:t>
      </w:r>
      <w:r>
        <w:rPr>
          <w:rFonts w:ascii="Times New Roman" w:cs="Times New Roman" w:eastAsia="Times New Roman" w:hAnsi="Times New Roman"/>
          <w:i/>
          <w:iCs/>
          <w:sz w:val="18"/>
          <w:szCs w:val="18"/>
        </w:rPr>
        <w:t xml:space="preserve">n</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18"/>
          <w:szCs w:val="18"/>
        </w:rPr>
        <w:t xml:space="preserve"> ≤ 1,000; equivalent code-side form </w:t>
      </w:r>
      <w:r>
        <w:rPr>
          <w:rFonts w:ascii="Times New Roman" w:cs="Times New Roman" w:eastAsia="Times New Roman" w:hAnsi="Times New Roman"/>
          <w:i/>
          <w:iCs/>
          <w:sz w:val="18"/>
          <w:szCs w:val="18"/>
        </w:rPr>
        <w:t xml:space="preserve">n</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18"/>
          <w:szCs w:val="18"/>
        </w:rPr>
        <w:t xml:space="preserve"> &lt; </w:t>
      </w:r>
      <w:r>
        <w:rPr>
          <w:rFonts w:ascii="Courier New" w:cs="Courier New" w:eastAsia="Courier New" w:hAnsi="Courier New"/>
          <w:sz w:val="16"/>
          <w:szCs w:val="16"/>
        </w:rPr>
        <w:t xml:space="preserve">MIN_LOCAL_EXPLANATION_RECORDS</w:t>
      </w:r>
      <w:r>
        <w:rPr>
          <w:rFonts w:ascii="Times New Roman" w:cs="Times New Roman" w:eastAsia="Times New Roman" w:hAnsi="Times New Roman"/>
          <w:sz w:val="18"/>
          <w:szCs w:val="18"/>
        </w:rPr>
        <w:t xml:space="preserve"> (= 1,001).</w:t>
      </w:r>
    </w:p>
    <w:p>
      <w:pPr>
        <w:spacing w:after="80"/>
        <w:jc w:val="both"/>
      </w:pPr>
      <w:r>
        <w:rPr>
          <w:rFonts w:ascii="Times New Roman" w:cs="Times New Roman" w:eastAsia="Times New Roman" w:hAnsi="Times New Roman"/>
          <w:sz w:val="20"/>
          <w:szCs w:val="20"/>
        </w:rPr>
        <w:t xml:space="preserve">The cold branch reads a pre-computed JSON artefact, abbreviated below to the leading entry:</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4860"/>
      </w:tblGrid>
      <w:tr>
        <w:tc>
          <w:tcPr>
            <w:tcW w:type="dxa" w:w="4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00" w:lineRule="auto"/>
            </w:pPr>
            <w:r>
              <w:rPr>
                <w:rFonts w:ascii="Courier New" w:cs="Courier New" w:eastAsia="Courier New" w:hAnsi="Courier New"/>
                <w:sz w:val="14"/>
                <w:szCs w:val="14"/>
              </w:rPr>
              <w:t xml:space="preserve">{</w:t>
            </w:r>
          </w:p>
          <w:p>
            <w:pPr>
              <w:spacing w:after="0" w:line="200" w:lineRule="auto"/>
            </w:pPr>
            <w:r>
              <w:rPr>
                <w:rFonts w:ascii="Courier New" w:cs="Courier New" w:eastAsia="Courier New" w:hAnsi="Courier New"/>
                <w:sz w:val="14"/>
                <w:szCs w:val="14"/>
              </w:rPr>
              <w:t xml:space="preserve">  "mode": "global_heuristic",</w:t>
            </w:r>
          </w:p>
          <w:p>
            <w:pPr>
              <w:spacing w:after="0" w:line="200" w:lineRule="auto"/>
            </w:pPr>
            <w:r>
              <w:rPr>
                <w:rFonts w:ascii="Courier New" w:cs="Courier New" w:eastAsia="Courier New" w:hAnsi="Courier New"/>
                <w:sz w:val="14"/>
                <w:szCs w:val="14"/>
              </w:rPr>
              <w:t xml:space="preserve">  "threshold": 1000,</w:t>
            </w:r>
          </w:p>
          <w:p>
            <w:pPr>
              <w:spacing w:after="0" w:line="200" w:lineRule="auto"/>
            </w:pPr>
            <w:r>
              <w:rPr>
                <w:rFonts w:ascii="Courier New" w:cs="Courier New" w:eastAsia="Courier New" w:hAnsi="Courier New"/>
                <w:sz w:val="14"/>
                <w:szCs w:val="14"/>
              </w:rPr>
              <w:t xml:space="preserve">  "baseline_tenant": "A",</w:t>
            </w:r>
          </w:p>
          <w:p>
            <w:pPr>
              <w:spacing w:after="0" w:line="200" w:lineRule="auto"/>
            </w:pPr>
            <w:r>
              <w:rPr>
                <w:rFonts w:ascii="Courier New" w:cs="Courier New" w:eastAsia="Courier New" w:hAnsi="Courier New"/>
                <w:sz w:val="14"/>
                <w:szCs w:val="14"/>
              </w:rPr>
              <w:t xml:space="preserve">  "baseline_n": 50000,</w:t>
            </w:r>
          </w:p>
          <w:p>
            <w:pPr>
              <w:spacing w:after="0" w:line="200" w:lineRule="auto"/>
            </w:pPr>
            <w:r>
              <w:rPr>
                <w:rFonts w:ascii="Courier New" w:cs="Courier New" w:eastAsia="Courier New" w:hAnsi="Courier New"/>
                <w:sz w:val="14"/>
                <w:szCs w:val="14"/>
              </w:rPr>
              <w:t xml:space="preserve">  "top_features": [</w:t>
            </w:r>
          </w:p>
          <w:p>
            <w:pPr>
              <w:spacing w:after="0" w:line="200" w:lineRule="auto"/>
            </w:pPr>
            <w:r>
              <w:rPr>
                <w:rFonts w:ascii="Courier New" w:cs="Courier New" w:eastAsia="Courier New" w:hAnsi="Courier New"/>
                <w:sz w:val="14"/>
                <w:szCs w:val="14"/>
              </w:rPr>
              <w:t xml:space="preserve">    {"feature": "freight_value",</w:t>
            </w:r>
          </w:p>
          <w:p>
            <w:pPr>
              <w:spacing w:after="0" w:line="200" w:lineRule="auto"/>
            </w:pPr>
            <w:r>
              <w:rPr>
                <w:rFonts w:ascii="Courier New" w:cs="Courier New" w:eastAsia="Courier New" w:hAnsi="Courier New"/>
                <w:sz w:val="14"/>
                <w:szCs w:val="14"/>
              </w:rPr>
              <w:t xml:space="preserve">     "importance": 0.30, "rank": 1}</w:t>
            </w:r>
          </w:p>
          <w:p>
            <w:pPr>
              <w:spacing w:after="0" w:line="200" w:lineRule="auto"/>
            </w:pPr>
            <w:r>
              <w:rPr>
                <w:rFonts w:ascii="Courier New" w:cs="Courier New" w:eastAsia="Courier New" w:hAnsi="Courier New"/>
                <w:sz w:val="14"/>
                <w:szCs w:val="14"/>
              </w:rPr>
              <w:t xml:space="preserve">    // ... 4 more entries ...</w:t>
            </w:r>
          </w:p>
          <w:p>
            <w:pPr>
              <w:spacing w:after="0" w:line="200" w:lineRule="auto"/>
            </w:pPr>
            <w:r>
              <w:rPr>
                <w:rFonts w:ascii="Courier New" w:cs="Courier New" w:eastAsia="Courier New" w:hAnsi="Courier New"/>
                <w:sz w:val="14"/>
                <w:szCs w:val="14"/>
              </w:rPr>
              <w:t xml:space="preserve">  ],</w:t>
            </w:r>
          </w:p>
          <w:p>
            <w:pPr>
              <w:spacing w:after="0" w:line="200" w:lineRule="auto"/>
            </w:pPr>
            <w:r>
              <w:rPr>
                <w:rFonts w:ascii="Courier New" w:cs="Courier New" w:eastAsia="Courier New" w:hAnsi="Courier New"/>
                <w:sz w:val="14"/>
                <w:szCs w:val="14"/>
              </w:rPr>
              <w:t xml:space="preserve">  "reason": "Tenant data volume below the</w:t>
            </w:r>
          </w:p>
          <w:p>
            <w:pPr>
              <w:spacing w:after="0" w:line="200" w:lineRule="auto"/>
            </w:pPr>
            <w:r>
              <w:rPr>
                <w:rFonts w:ascii="Courier New" w:cs="Courier New" w:eastAsia="Courier New" w:hAnsi="Courier New"/>
                <w:sz w:val="14"/>
                <w:szCs w:val="14"/>
              </w:rPr>
              <w:t xml:space="preserve">   empirically-determined reliability threshold;</w:t>
            </w:r>
          </w:p>
          <w:p>
            <w:pPr>
              <w:spacing w:after="0" w:line="200" w:lineRule="auto"/>
            </w:pPr>
            <w:r>
              <w:rPr>
                <w:rFonts w:ascii="Courier New" w:cs="Courier New" w:eastAsia="Courier New" w:hAnsi="Courier New"/>
                <w:sz w:val="14"/>
                <w:szCs w:val="14"/>
              </w:rPr>
              <w:t xml:space="preserve">   serving global cross-tenant feature importance."</w:t>
            </w:r>
          </w:p>
          <w:p>
            <w:pPr>
              <w:spacing w:after="0" w:line="200" w:lineRule="auto"/>
            </w:pPr>
            <w:r>
              <w:rPr>
                <w:rFonts w:ascii="Courier New" w:cs="Courier New" w:eastAsia="Courier New" w:hAnsi="Courier New"/>
                <w:sz w:val="14"/>
                <w:szCs w:val="14"/>
              </w:rPr>
              <w:t xml:space="preserve">}</w:t>
            </w:r>
          </w:p>
        </w:tc>
      </w:tr>
    </w:tbl>
    <w:p>
      <w:pPr>
        <w:spacing w:after="80"/>
      </w:pPr>
    </w:p>
    <w:p>
      <w:pPr>
        <w:pStyle w:val="Heading1"/>
        <w:spacing w:after="120" w:before="220"/>
        <w:jc w:val="center"/>
      </w:pPr>
      <w:r>
        <w:rPr>
          <w:rFonts w:ascii="Times New Roman" w:cs="Times New Roman" w:eastAsia="Times New Roman" w:hAnsi="Times New Roman"/>
          <w:smallCaps/>
          <w:sz w:val="20"/>
          <w:szCs w:val="20"/>
        </w:rPr>
        <w:t xml:space="preserve">V.  Results</w:t>
      </w:r>
    </w:p>
    <w:p>
      <w:pPr>
        <w:pStyle w:val="Heading2"/>
        <w:spacing w:after="100" w:before="180"/>
        <w:jc w:val="left"/>
      </w:pPr>
      <w:r>
        <w:rPr>
          <w:rFonts w:ascii="Times New Roman" w:cs="Times New Roman" w:eastAsia="Times New Roman" w:hAnsi="Times New Roman"/>
          <w:i/>
          <w:iCs/>
          <w:sz w:val="20"/>
          <w:szCs w:val="20"/>
        </w:rPr>
        <w:t xml:space="preserve">A. Predictive Metrics are Uninformative</w:t>
      </w:r>
    </w:p>
    <w:p>
      <w:pPr>
        <w:jc w:val="both"/>
      </w:pPr>
      <w:r>
        <w:rPr>
          <w:rFonts w:ascii="Times New Roman" w:cs="Times New Roman" w:eastAsia="Times New Roman" w:hAnsi="Times New Roman"/>
          <w:sz w:val="20"/>
          <w:szCs w:val="20"/>
        </w:rPr>
        <w:t xml:space="preserve">Table I reports leakage-corrected AUC-ROC, F1, and the three reliability metrics for the primary study. AUC-ROC is essentially flat across A–D (0.66, 0.62, 0.61, 0.61) and </w:t>
      </w:r>
      <w:r>
        <w:rPr>
          <w:rFonts w:ascii="Times New Roman" w:cs="Times New Roman" w:eastAsia="Times New Roman" w:hAnsi="Times New Roman"/>
          <w:i/>
          <w:iCs/>
          <w:sz w:val="20"/>
          <w:szCs w:val="20"/>
        </w:rPr>
        <w:t xml:space="preserve">rises</w:t>
      </w:r>
      <w:r>
        <w:rPr>
          <w:rFonts w:ascii="Times New Roman" w:cs="Times New Roman" w:eastAsia="Times New Roman" w:hAnsi="Times New Roman"/>
          <w:sz w:val="20"/>
          <w:szCs w:val="20"/>
        </w:rPr>
        <w:t xml:space="preserve"> to 0.89 at the extreme cold-start tier E—a well-understood small-sample artefact in which a single concentrated feature happens to discriminate on the small hold-out subset. Any monitoring stack that relies on AUC-ROC would therefore conclude that the cold-start tier is the </w:t>
      </w:r>
      <w:r>
        <w:rPr>
          <w:rFonts w:ascii="Times New Roman" w:cs="Times New Roman" w:eastAsia="Times New Roman" w:hAnsi="Times New Roman"/>
          <w:i/>
          <w:iCs/>
          <w:sz w:val="20"/>
          <w:szCs w:val="20"/>
        </w:rPr>
        <w:t xml:space="preserve">healthiest</w:t>
      </w:r>
      <w:r>
        <w:rPr>
          <w:rFonts w:ascii="Times New Roman" w:cs="Times New Roman" w:eastAsia="Times New Roman" w:hAnsi="Times New Roman"/>
          <w:sz w:val="20"/>
          <w:szCs w:val="20"/>
        </w:rPr>
        <w:t xml:space="preserve"> of the five, while the explanation system is, in fact, at its most degraded.</w:t>
      </w:r>
    </w:p>
    <w:p>
      <w:pPr>
        <w:spacing w:after="40" w:before="160"/>
        <w:jc w:val="center"/>
      </w:pPr>
      <w:r>
        <w:rPr>
          <w:rFonts w:ascii="Times New Roman" w:cs="Times New Roman" w:eastAsia="Times New Roman" w:hAnsi="Times New Roman"/>
          <w:smallCaps/>
          <w:sz w:val="18"/>
          <w:szCs w:val="18"/>
        </w:rPr>
        <w:t xml:space="preserve">TABLE I</w:t>
      </w:r>
    </w:p>
    <w:p>
      <w:pPr>
        <w:spacing w:after="80"/>
        <w:jc w:val="center"/>
      </w:pPr>
      <w:r>
        <w:rPr>
          <w:rFonts w:ascii="Times New Roman" w:cs="Times New Roman" w:eastAsia="Times New Roman" w:hAnsi="Times New Roman"/>
          <w:smallCaps/>
          <w:sz w:val="18"/>
          <w:szCs w:val="18"/>
        </w:rPr>
        <w:t xml:space="preserve">Primary study (Olist Late Delivery Risk, leakage-free regime): predictive metrics are flat or misleading while explanation-system metrics collapse as </w:t>
      </w:r>
      <w:r>
        <w:rPr>
          <w:rFonts w:ascii="Times New Roman" w:cs="Times New Roman" w:eastAsia="Times New Roman" w:hAnsi="Times New Roman"/>
          <w:i/>
          <w:iCs/>
          <w:sz w:val="18"/>
          <w:szCs w:val="18"/>
        </w:rPr>
        <w:t xml:space="preserve">n</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mallCaps/>
          <w:sz w:val="18"/>
          <w:szCs w:val="18"/>
        </w:rPr>
        <w:t xml:space="preserve"> falls.</w:t>
      </w:r>
    </w:p>
    <w:tbl>
      <w:tblPr>
        <w:tblW w:type="dxa" w:w="4860"/>
        <w:jc w:val="center"/>
        <w:tblBorders>
          <w:top w:val="single" w:color="auto" w:sz="4"/>
          <w:left w:val="single" w:color="auto" w:sz="4"/>
          <w:bottom w:val="single" w:color="auto" w:sz="4"/>
          <w:right w:val="single" w:color="auto" w:sz="4"/>
          <w:insideH w:val="single" w:color="auto" w:sz="4"/>
          <w:insideV w:val="single" w:color="auto" w:sz="4"/>
        </w:tblBorders>
      </w:tblPr>
      <w:tblGrid>
        <w:gridCol w:w="640"/>
        <w:gridCol w:w="940"/>
        <w:gridCol w:w="1020"/>
        <w:gridCol w:w="680"/>
        <w:gridCol w:w="820"/>
        <w:gridCol w:w="760"/>
      </w:tblGrid>
      <w:tr>
        <w:tc>
          <w:tcPr>
            <w:tcW w:type="dxa" w:w="640"/>
            <w:tcBorders>
              <w:top w:val="single" w:color="000000" w:sz="8"/>
              <w:left w:val="none" w:color="FFFFFF" w:sz="0"/>
              <w:bottom w:val="single" w:color="000000" w:sz="4"/>
              <w:right w:val="none" w:color="FFFFFF" w:sz="0"/>
            </w:tcBorders>
            <w:tcMar>
              <w:top w:type="dxa" w:w="30"/>
              <w:left w:type="dxa" w:w="60"/>
              <w:bottom w:type="dxa" w:w="30"/>
              <w:right w:type="dxa" w:w="60"/>
            </w:tcMar>
          </w:tcPr>
          <w:p>
            <w:pPr>
              <w:jc w:val="left"/>
            </w:pPr>
            <w:r>
              <w:rPr>
                <w:rFonts w:ascii="Times New Roman" w:cs="Times New Roman" w:eastAsia="Times New Roman" w:hAnsi="Times New Roman"/>
                <w:sz w:val="18"/>
                <w:szCs w:val="18"/>
              </w:rPr>
              <w:t xml:space="preserve">Tenant</w:t>
            </w:r>
          </w:p>
        </w:tc>
        <w:tc>
          <w:tcPr>
            <w:tcW w:type="dxa" w:w="940"/>
            <w:tcBorders>
              <w:top w:val="single" w:color="000000" w:sz="8"/>
              <w:left w:val="none" w:color="FFFFFF" w:sz="0"/>
              <w:bottom w:val="single" w:color="000000" w:sz="4"/>
              <w:right w:val="none" w:color="FFFFFF" w:sz="0"/>
            </w:tcBorders>
            <w:tcMar>
              <w:top w:type="dxa" w:w="30"/>
              <w:left w:type="dxa" w:w="60"/>
              <w:bottom w:type="dxa" w:w="30"/>
              <w:right w:type="dxa" w:w="60"/>
            </w:tcMar>
          </w:tcPr>
          <w:p>
            <w:pPr>
              <w:jc w:val="right"/>
            </w:pPr>
            <w:r>
              <w:rPr>
                <w:rFonts w:ascii="Times New Roman" w:cs="Times New Roman" w:eastAsia="Times New Roman" w:hAnsi="Times New Roman"/>
                <w:i/>
                <w:iCs/>
                <w:sz w:val="18"/>
                <w:szCs w:val="18"/>
              </w:rPr>
              <w:t xml:space="preserve">n</w:t>
            </w:r>
            <w:r>
              <w:rPr>
                <w:rFonts w:ascii="Times New Roman" w:cs="Times New Roman" w:eastAsia="Times New Roman" w:hAnsi="Times New Roman"/>
                <w:i/>
                <w:iCs/>
                <w:sz w:val="18"/>
                <w:szCs w:val="18"/>
                <w:vertAlign w:val="subscript"/>
              </w:rPr>
              <w:t xml:space="preserve">t</w:t>
            </w:r>
          </w:p>
        </w:tc>
        <w:tc>
          <w:tcPr>
            <w:tcW w:type="dxa" w:w="1020"/>
            <w:tcBorders>
              <w:top w:val="single" w:color="000000" w:sz="8"/>
              <w:left w:val="none" w:color="FFFFFF" w:sz="0"/>
              <w:bottom w:val="single" w:color="000000" w:sz="4"/>
              <w:right w:val="none" w:color="FFFFFF" w:sz="0"/>
            </w:tcBorders>
            <w:tcMar>
              <w:top w:type="dxa" w:w="30"/>
              <w:left w:type="dxa" w:w="60"/>
              <w:bottom w:type="dxa" w:w="30"/>
              <w:right w:type="dxa" w:w="60"/>
            </w:tcMar>
          </w:tcPr>
          <w:p>
            <w:pPr>
              <w:jc w:val="right"/>
            </w:pPr>
            <w:r>
              <w:rPr>
                <w:rFonts w:ascii="Times New Roman" w:cs="Times New Roman" w:eastAsia="Times New Roman" w:hAnsi="Times New Roman"/>
                <w:sz w:val="18"/>
                <w:szCs w:val="18"/>
              </w:rPr>
              <w:t xml:space="preserve">AUC-ROC</w:t>
            </w:r>
          </w:p>
        </w:tc>
        <w:tc>
          <w:tcPr>
            <w:tcW w:type="dxa" w:w="680"/>
            <w:tcBorders>
              <w:top w:val="single" w:color="000000" w:sz="8"/>
              <w:left w:val="none" w:color="FFFFFF" w:sz="0"/>
              <w:bottom w:val="single" w:color="000000" w:sz="4"/>
              <w:right w:val="none" w:color="FFFFFF" w:sz="0"/>
            </w:tcBorders>
            <w:tcMar>
              <w:top w:type="dxa" w:w="30"/>
              <w:left w:type="dxa" w:w="60"/>
              <w:bottom w:type="dxa" w:w="30"/>
              <w:right w:type="dxa" w:w="60"/>
            </w:tcMar>
          </w:tcPr>
          <w:p>
            <w:pPr>
              <w:jc w:val="right"/>
            </w:pPr>
            <w:r>
              <w:rPr>
                <w:rFonts w:ascii="Times New Roman" w:cs="Times New Roman" w:eastAsia="Times New Roman" w:hAnsi="Times New Roman"/>
                <w:sz w:val="18"/>
                <w:szCs w:val="18"/>
              </w:rPr>
              <w:t xml:space="preserve">F1</w:t>
            </w:r>
          </w:p>
        </w:tc>
        <w:tc>
          <w:tcPr>
            <w:tcW w:type="dxa" w:w="820"/>
            <w:tcBorders>
              <w:top w:val="single" w:color="000000" w:sz="8"/>
              <w:left w:val="none" w:color="FFFFFF" w:sz="0"/>
              <w:bottom w:val="single" w:color="000000" w:sz="4"/>
              <w:right w:val="none" w:color="FFFFFF" w:sz="0"/>
            </w:tcBorders>
            <w:tcMar>
              <w:top w:type="dxa" w:w="30"/>
              <w:left w:type="dxa" w:w="60"/>
              <w:bottom w:type="dxa" w:w="30"/>
              <w:right w:type="dxa" w:w="60"/>
            </w:tcMar>
          </w:tcPr>
          <w:p>
            <w:pPr>
              <w:jc w:val="right"/>
            </w:pPr>
            <w:r>
              <w:rPr>
                <w:rFonts w:ascii="Times New Roman" w:cs="Times New Roman" w:eastAsia="Times New Roman" w:hAnsi="Times New Roman"/>
                <w:i/>
                <w:iCs/>
                <w:sz w:val="18"/>
                <w:szCs w:val="18"/>
              </w:rPr>
              <w:t xml:space="preserve">ρ</w:t>
            </w:r>
          </w:p>
        </w:tc>
        <w:tc>
          <w:tcPr>
            <w:tcW w:type="dxa" w:w="760"/>
            <w:tcBorders>
              <w:top w:val="single" w:color="000000" w:sz="8"/>
              <w:left w:val="none" w:color="FFFFFF" w:sz="0"/>
              <w:bottom w:val="single" w:color="000000" w:sz="4"/>
              <w:right w:val="none" w:color="FFFFFF" w:sz="0"/>
            </w:tcBorders>
            <w:tcMar>
              <w:top w:type="dxa" w:w="30"/>
              <w:left w:type="dxa" w:w="60"/>
              <w:bottom w:type="dxa" w:w="30"/>
              <w:right w:type="dxa" w:w="60"/>
            </w:tcMar>
          </w:tcPr>
          <w:p>
            <w:pPr>
              <w:jc w:val="right"/>
            </w:pPr>
            <w:r>
              <w:rPr>
                <w:rFonts w:ascii="Times New Roman" w:cs="Times New Roman" w:eastAsia="Times New Roman" w:hAnsi="Times New Roman"/>
                <w:i/>
                <w:iCs/>
                <w:sz w:val="18"/>
                <w:szCs w:val="18"/>
              </w:rPr>
              <w:t xml:space="preserve">σ²(|φ|)</w:t>
            </w:r>
          </w:p>
        </w:tc>
      </w:tr>
      <w:tr>
        <w:tc>
          <w:tcPr>
            <w:tcW w:type="dxa" w:w="64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sz w:val="18"/>
                <w:szCs w:val="18"/>
              </w:rPr>
              <w:t xml:space="preserve">A</w:t>
            </w:r>
          </w:p>
        </w:tc>
        <w:tc>
          <w:tcPr>
            <w:tcW w:type="dxa" w:w="940"/>
            <w:tcBorders>
              <w:top w:val="none" w:color="FFFFFF" w:sz="0"/>
              <w:left w:val="none" w:color="FFFFFF" w:sz="0"/>
              <w:bottom w:val="none" w:color="FFFFFF" w:sz="0"/>
              <w:right w:val="none" w:color="FFFFFF" w:sz="0"/>
            </w:tcBorders>
            <w:tcMar>
              <w:top w:type="dxa" w:w="30"/>
              <w:left w:type="dxa" w:w="60"/>
              <w:bottom w:type="dxa" w:w="30"/>
              <w:right w:type="dxa" w:w="60"/>
            </w:tcMar>
          </w:tcPr>
          <w:p>
            <w:pPr>
              <w:jc w:val="right"/>
            </w:pPr>
            <w:r>
              <w:rPr>
                <w:rFonts w:ascii="Times New Roman" w:cs="Times New Roman" w:eastAsia="Times New Roman" w:hAnsi="Times New Roman"/>
                <w:sz w:val="18"/>
                <w:szCs w:val="18"/>
              </w:rPr>
              <w:t xml:space="preserve">50,000</w:t>
            </w:r>
          </w:p>
        </w:tc>
        <w:tc>
          <w:tcPr>
            <w:tcW w:type="dxa" w:w="1020"/>
            <w:tcBorders>
              <w:top w:val="none" w:color="FFFFFF" w:sz="0"/>
              <w:left w:val="none" w:color="FFFFFF" w:sz="0"/>
              <w:bottom w:val="none" w:color="FFFFFF" w:sz="0"/>
              <w:right w:val="none" w:color="FFFFFF" w:sz="0"/>
            </w:tcBorders>
            <w:tcMar>
              <w:top w:type="dxa" w:w="30"/>
              <w:left w:type="dxa" w:w="60"/>
              <w:bottom w:type="dxa" w:w="30"/>
              <w:right w:type="dxa" w:w="60"/>
            </w:tcMar>
          </w:tcPr>
          <w:p>
            <w:pPr>
              <w:jc w:val="right"/>
            </w:pPr>
            <w:r>
              <w:rPr>
                <w:rFonts w:ascii="Times New Roman" w:cs="Times New Roman" w:eastAsia="Times New Roman" w:hAnsi="Times New Roman"/>
                <w:sz w:val="18"/>
                <w:szCs w:val="18"/>
              </w:rPr>
              <w:t xml:space="preserve">0.6556</w:t>
            </w:r>
          </w:p>
        </w:tc>
        <w:tc>
          <w:tcPr>
            <w:tcW w:type="dxa" w:w="680"/>
            <w:tcBorders>
              <w:top w:val="none" w:color="FFFFFF" w:sz="0"/>
              <w:left w:val="none" w:color="FFFFFF" w:sz="0"/>
              <w:bottom w:val="none" w:color="FFFFFF" w:sz="0"/>
              <w:right w:val="none" w:color="FFFFFF" w:sz="0"/>
            </w:tcBorders>
            <w:tcMar>
              <w:top w:type="dxa" w:w="30"/>
              <w:left w:type="dxa" w:w="60"/>
              <w:bottom w:type="dxa" w:w="30"/>
              <w:right w:type="dxa" w:w="60"/>
            </w:tcMar>
          </w:tcPr>
          <w:p>
            <w:pPr>
              <w:jc w:val="right"/>
            </w:pPr>
            <w:r>
              <w:rPr>
                <w:rFonts w:ascii="Times New Roman" w:cs="Times New Roman" w:eastAsia="Times New Roman" w:hAnsi="Times New Roman"/>
                <w:sz w:val="18"/>
                <w:szCs w:val="18"/>
              </w:rPr>
              <w:t xml:space="preserve">0.0263</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tcPr>
          <w:p>
            <w:pPr>
              <w:jc w:val="right"/>
            </w:pPr>
            <w:r>
              <w:rPr>
                <w:rFonts w:ascii="Times New Roman" w:cs="Times New Roman" w:eastAsia="Times New Roman" w:hAnsi="Times New Roman"/>
                <w:sz w:val="18"/>
                <w:szCs w:val="18"/>
              </w:rPr>
              <w:t xml:space="preserve">1.0000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tcPr>
          <w:p>
            <w:pPr>
              <w:jc w:val="right"/>
            </w:pPr>
            <w:r>
              <w:rPr>
                <w:rFonts w:ascii="Times New Roman" w:cs="Times New Roman" w:eastAsia="Times New Roman" w:hAnsi="Times New Roman"/>
                <w:sz w:val="18"/>
                <w:szCs w:val="18"/>
              </w:rPr>
              <w:t xml:space="preserve">0.0224</w:t>
            </w:r>
          </w:p>
        </w:tc>
      </w:tr>
      <w:tr>
        <w:tc>
          <w:tcPr>
            <w:tcW w:type="dxa" w:w="64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sz w:val="18"/>
                <w:szCs w:val="18"/>
              </w:rPr>
              <w:t xml:space="preserve">B</w:t>
            </w:r>
          </w:p>
        </w:tc>
        <w:tc>
          <w:tcPr>
            <w:tcW w:type="dxa" w:w="940"/>
            <w:tcBorders>
              <w:top w:val="none" w:color="FFFFFF" w:sz="0"/>
              <w:left w:val="none" w:color="FFFFFF" w:sz="0"/>
              <w:bottom w:val="none" w:color="FFFFFF" w:sz="0"/>
              <w:right w:val="none" w:color="FFFFFF" w:sz="0"/>
            </w:tcBorders>
            <w:tcMar>
              <w:top w:type="dxa" w:w="30"/>
              <w:left w:type="dxa" w:w="60"/>
              <w:bottom w:type="dxa" w:w="30"/>
              <w:right w:type="dxa" w:w="60"/>
            </w:tcMar>
          </w:tcPr>
          <w:p>
            <w:pPr>
              <w:jc w:val="right"/>
            </w:pPr>
            <w:r>
              <w:rPr>
                <w:rFonts w:ascii="Times New Roman" w:cs="Times New Roman" w:eastAsia="Times New Roman" w:hAnsi="Times New Roman"/>
                <w:sz w:val="18"/>
                <w:szCs w:val="18"/>
              </w:rPr>
              <w:t xml:space="preserve">5,000</w:t>
            </w:r>
          </w:p>
        </w:tc>
        <w:tc>
          <w:tcPr>
            <w:tcW w:type="dxa" w:w="1020"/>
            <w:tcBorders>
              <w:top w:val="none" w:color="FFFFFF" w:sz="0"/>
              <w:left w:val="none" w:color="FFFFFF" w:sz="0"/>
              <w:bottom w:val="none" w:color="FFFFFF" w:sz="0"/>
              <w:right w:val="none" w:color="FFFFFF" w:sz="0"/>
            </w:tcBorders>
            <w:tcMar>
              <w:top w:type="dxa" w:w="30"/>
              <w:left w:type="dxa" w:w="60"/>
              <w:bottom w:type="dxa" w:w="30"/>
              <w:right w:type="dxa" w:w="60"/>
            </w:tcMar>
          </w:tcPr>
          <w:p>
            <w:pPr>
              <w:jc w:val="right"/>
            </w:pPr>
            <w:r>
              <w:rPr>
                <w:rFonts w:ascii="Times New Roman" w:cs="Times New Roman" w:eastAsia="Times New Roman" w:hAnsi="Times New Roman"/>
                <w:sz w:val="18"/>
                <w:szCs w:val="18"/>
              </w:rPr>
              <w:t xml:space="preserve">0.6249</w:t>
            </w:r>
          </w:p>
        </w:tc>
        <w:tc>
          <w:tcPr>
            <w:tcW w:type="dxa" w:w="680"/>
            <w:tcBorders>
              <w:top w:val="none" w:color="FFFFFF" w:sz="0"/>
              <w:left w:val="none" w:color="FFFFFF" w:sz="0"/>
              <w:bottom w:val="none" w:color="FFFFFF" w:sz="0"/>
              <w:right w:val="none" w:color="FFFFFF" w:sz="0"/>
            </w:tcBorders>
            <w:tcMar>
              <w:top w:type="dxa" w:w="30"/>
              <w:left w:type="dxa" w:w="60"/>
              <w:bottom w:type="dxa" w:w="30"/>
              <w:right w:type="dxa" w:w="60"/>
            </w:tcMar>
          </w:tcPr>
          <w:p>
            <w:pPr>
              <w:jc w:val="right"/>
            </w:pPr>
            <w:r>
              <w:rPr>
                <w:rFonts w:ascii="Times New Roman" w:cs="Times New Roman" w:eastAsia="Times New Roman" w:hAnsi="Times New Roman"/>
                <w:sz w:val="18"/>
                <w:szCs w:val="18"/>
              </w:rPr>
              <w:t xml:space="preserve">0.1136</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tcPr>
          <w:p>
            <w:pPr>
              <w:jc w:val="right"/>
            </w:pPr>
            <w:r>
              <w:rPr>
                <w:rFonts w:ascii="Times New Roman" w:cs="Times New Roman" w:eastAsia="Times New Roman" w:hAnsi="Times New Roman"/>
                <w:sz w:val="18"/>
                <w:szCs w:val="18"/>
              </w:rPr>
              <w:t xml:space="preserve">0.8571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tcPr>
          <w:p>
            <w:pPr>
              <w:jc w:val="right"/>
            </w:pPr>
            <w:r>
              <w:rPr>
                <w:rFonts w:ascii="Times New Roman" w:cs="Times New Roman" w:eastAsia="Times New Roman" w:hAnsi="Times New Roman"/>
                <w:sz w:val="18"/>
                <w:szCs w:val="18"/>
              </w:rPr>
              <w:t xml:space="preserve">0.0245</w:t>
            </w:r>
          </w:p>
        </w:tc>
      </w:tr>
      <w:tr>
        <w:tc>
          <w:tcPr>
            <w:tcW w:type="dxa" w:w="64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sz w:val="18"/>
                <w:szCs w:val="18"/>
              </w:rPr>
              <w:t xml:space="preserve">C</w:t>
            </w:r>
          </w:p>
        </w:tc>
        <w:tc>
          <w:tcPr>
            <w:tcW w:type="dxa" w:w="940"/>
            <w:tcBorders>
              <w:top w:val="none" w:color="FFFFFF" w:sz="0"/>
              <w:left w:val="none" w:color="FFFFFF" w:sz="0"/>
              <w:bottom w:val="none" w:color="FFFFFF" w:sz="0"/>
              <w:right w:val="none" w:color="FFFFFF" w:sz="0"/>
            </w:tcBorders>
            <w:tcMar>
              <w:top w:type="dxa" w:w="30"/>
              <w:left w:type="dxa" w:w="60"/>
              <w:bottom w:type="dxa" w:w="30"/>
              <w:right w:type="dxa" w:w="60"/>
            </w:tcMar>
          </w:tcPr>
          <w:p>
            <w:pPr>
              <w:jc w:val="right"/>
            </w:pPr>
            <w:r>
              <w:rPr>
                <w:rFonts w:ascii="Times New Roman" w:cs="Times New Roman" w:eastAsia="Times New Roman" w:hAnsi="Times New Roman"/>
                <w:sz w:val="18"/>
                <w:szCs w:val="18"/>
              </w:rPr>
              <w:t xml:space="preserve">1,000</w:t>
            </w:r>
          </w:p>
        </w:tc>
        <w:tc>
          <w:tcPr>
            <w:tcW w:type="dxa" w:w="1020"/>
            <w:tcBorders>
              <w:top w:val="none" w:color="FFFFFF" w:sz="0"/>
              <w:left w:val="none" w:color="FFFFFF" w:sz="0"/>
              <w:bottom w:val="none" w:color="FFFFFF" w:sz="0"/>
              <w:right w:val="none" w:color="FFFFFF" w:sz="0"/>
            </w:tcBorders>
            <w:tcMar>
              <w:top w:type="dxa" w:w="30"/>
              <w:left w:type="dxa" w:w="60"/>
              <w:bottom w:type="dxa" w:w="30"/>
              <w:right w:type="dxa" w:w="60"/>
            </w:tcMar>
          </w:tcPr>
          <w:p>
            <w:pPr>
              <w:jc w:val="right"/>
            </w:pPr>
            <w:r>
              <w:rPr>
                <w:rFonts w:ascii="Times New Roman" w:cs="Times New Roman" w:eastAsia="Times New Roman" w:hAnsi="Times New Roman"/>
                <w:sz w:val="18"/>
                <w:szCs w:val="18"/>
              </w:rPr>
              <w:t xml:space="preserve">0.6094</w:t>
            </w:r>
          </w:p>
        </w:tc>
        <w:tc>
          <w:tcPr>
            <w:tcW w:type="dxa" w:w="680"/>
            <w:tcBorders>
              <w:top w:val="none" w:color="FFFFFF" w:sz="0"/>
              <w:left w:val="none" w:color="FFFFFF" w:sz="0"/>
              <w:bottom w:val="none" w:color="FFFFFF" w:sz="0"/>
              <w:right w:val="none" w:color="FFFFFF" w:sz="0"/>
            </w:tcBorders>
            <w:tcMar>
              <w:top w:type="dxa" w:w="30"/>
              <w:left w:type="dxa" w:w="60"/>
              <w:bottom w:type="dxa" w:w="30"/>
              <w:right w:type="dxa" w:w="60"/>
            </w:tcMar>
          </w:tcPr>
          <w:p>
            <w:pPr>
              <w:jc w:val="right"/>
            </w:pPr>
            <w:r>
              <w:rPr>
                <w:rFonts w:ascii="Times New Roman" w:cs="Times New Roman" w:eastAsia="Times New Roman" w:hAnsi="Times New Roman"/>
                <w:sz w:val="18"/>
                <w:szCs w:val="18"/>
              </w:rPr>
              <w:t xml:space="preserve">0.0500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tcPr>
          <w:p>
            <w:pPr>
              <w:jc w:val="right"/>
            </w:pPr>
            <w:r>
              <w:rPr>
                <w:rFonts w:ascii="Times New Roman" w:cs="Times New Roman" w:eastAsia="Times New Roman" w:hAnsi="Times New Roman"/>
                <w:sz w:val="18"/>
                <w:szCs w:val="18"/>
              </w:rPr>
              <w:t xml:space="preserve">0.6429</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tcPr>
          <w:p>
            <w:pPr>
              <w:jc w:val="right"/>
            </w:pPr>
            <w:r>
              <w:rPr>
                <w:rFonts w:ascii="Times New Roman" w:cs="Times New Roman" w:eastAsia="Times New Roman" w:hAnsi="Times New Roman"/>
                <w:sz w:val="18"/>
                <w:szCs w:val="18"/>
              </w:rPr>
              <w:t xml:space="preserve">0.0510</w:t>
            </w:r>
          </w:p>
        </w:tc>
      </w:tr>
      <w:tr>
        <w:tc>
          <w:tcPr>
            <w:tcW w:type="dxa" w:w="640"/>
            <w:tcBorders>
              <w:top w:val="none" w:color="FFFFFF" w:sz="0"/>
              <w:left w:val="none" w:color="FFFFFF" w:sz="0"/>
              <w:bottom w:val="none" w:color="FFFFFF" w:sz="0"/>
              <w:right w:val="none" w:color="FFFFFF" w:sz="0"/>
            </w:tcBorders>
            <w:tcMar>
              <w:top w:type="dxa" w:w="30"/>
              <w:left w:type="dxa" w:w="60"/>
              <w:bottom w:type="dxa" w:w="30"/>
              <w:right w:type="dxa" w:w="60"/>
            </w:tcMar>
          </w:tcPr>
          <w:p>
            <w:pPr>
              <w:jc w:val="left"/>
            </w:pPr>
            <w:r>
              <w:rPr>
                <w:rFonts w:ascii="Times New Roman" w:cs="Times New Roman" w:eastAsia="Times New Roman" w:hAnsi="Times New Roman"/>
                <w:sz w:val="18"/>
                <w:szCs w:val="18"/>
              </w:rPr>
              <w:t xml:space="preserve">D</w:t>
            </w:r>
          </w:p>
        </w:tc>
        <w:tc>
          <w:tcPr>
            <w:tcW w:type="dxa" w:w="940"/>
            <w:tcBorders>
              <w:top w:val="none" w:color="FFFFFF" w:sz="0"/>
              <w:left w:val="none" w:color="FFFFFF" w:sz="0"/>
              <w:bottom w:val="none" w:color="FFFFFF" w:sz="0"/>
              <w:right w:val="none" w:color="FFFFFF" w:sz="0"/>
            </w:tcBorders>
            <w:tcMar>
              <w:top w:type="dxa" w:w="30"/>
              <w:left w:type="dxa" w:w="60"/>
              <w:bottom w:type="dxa" w:w="30"/>
              <w:right w:type="dxa" w:w="60"/>
            </w:tcMar>
          </w:tcPr>
          <w:p>
            <w:pPr>
              <w:jc w:val="right"/>
            </w:pPr>
            <w:r>
              <w:rPr>
                <w:rFonts w:ascii="Times New Roman" w:cs="Times New Roman" w:eastAsia="Times New Roman" w:hAnsi="Times New Roman"/>
                <w:sz w:val="18"/>
                <w:szCs w:val="18"/>
              </w:rPr>
              <w:t xml:space="preserve">200</w:t>
            </w:r>
          </w:p>
        </w:tc>
        <w:tc>
          <w:tcPr>
            <w:tcW w:type="dxa" w:w="1020"/>
            <w:tcBorders>
              <w:top w:val="none" w:color="FFFFFF" w:sz="0"/>
              <w:left w:val="none" w:color="FFFFFF" w:sz="0"/>
              <w:bottom w:val="none" w:color="FFFFFF" w:sz="0"/>
              <w:right w:val="none" w:color="FFFFFF" w:sz="0"/>
            </w:tcBorders>
            <w:tcMar>
              <w:top w:type="dxa" w:w="30"/>
              <w:left w:type="dxa" w:w="60"/>
              <w:bottom w:type="dxa" w:w="30"/>
              <w:right w:type="dxa" w:w="60"/>
            </w:tcMar>
          </w:tcPr>
          <w:p>
            <w:pPr>
              <w:jc w:val="right"/>
            </w:pPr>
            <w:r>
              <w:rPr>
                <w:rFonts w:ascii="Times New Roman" w:cs="Times New Roman" w:eastAsia="Times New Roman" w:hAnsi="Times New Roman"/>
                <w:sz w:val="18"/>
                <w:szCs w:val="18"/>
              </w:rPr>
              <w:t xml:space="preserve">0.6126</w:t>
            </w:r>
          </w:p>
        </w:tc>
        <w:tc>
          <w:tcPr>
            <w:tcW w:type="dxa" w:w="680"/>
            <w:tcBorders>
              <w:top w:val="none" w:color="FFFFFF" w:sz="0"/>
              <w:left w:val="none" w:color="FFFFFF" w:sz="0"/>
              <w:bottom w:val="none" w:color="FFFFFF" w:sz="0"/>
              <w:right w:val="none" w:color="FFFFFF" w:sz="0"/>
            </w:tcBorders>
            <w:tcMar>
              <w:top w:type="dxa" w:w="30"/>
              <w:left w:type="dxa" w:w="60"/>
              <w:bottom w:type="dxa" w:w="30"/>
              <w:right w:type="dxa" w:w="60"/>
            </w:tcMar>
          </w:tcPr>
          <w:p>
            <w:pPr>
              <w:jc w:val="right"/>
            </w:pPr>
            <w:r>
              <w:rPr>
                <w:rFonts w:ascii="Times New Roman" w:cs="Times New Roman" w:eastAsia="Times New Roman" w:hAnsi="Times New Roman"/>
                <w:sz w:val="18"/>
                <w:szCs w:val="18"/>
              </w:rPr>
              <w:t xml:space="preserve">0.0000</w:t>
            </w:r>
          </w:p>
        </w:tc>
        <w:tc>
          <w:tcPr>
            <w:tcW w:type="dxa" w:w="820"/>
            <w:tcBorders>
              <w:top w:val="none" w:color="FFFFFF" w:sz="0"/>
              <w:left w:val="none" w:color="FFFFFF" w:sz="0"/>
              <w:bottom w:val="none" w:color="FFFFFF" w:sz="0"/>
              <w:right w:val="none" w:color="FFFFFF" w:sz="0"/>
            </w:tcBorders>
            <w:tcMar>
              <w:top w:type="dxa" w:w="30"/>
              <w:left w:type="dxa" w:w="60"/>
              <w:bottom w:type="dxa" w:w="30"/>
              <w:right w:type="dxa" w:w="60"/>
            </w:tcMar>
          </w:tcPr>
          <w:p>
            <w:pPr>
              <w:jc w:val="right"/>
            </w:pPr>
            <w:r>
              <w:rPr>
                <w:rFonts w:ascii="Times New Roman" w:cs="Times New Roman" w:eastAsia="Times New Roman" w:hAnsi="Times New Roman"/>
                <w:sz w:val="18"/>
                <w:szCs w:val="18"/>
              </w:rPr>
              <w:t xml:space="preserve">0.6154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tcPr>
          <w:p>
            <w:pPr>
              <w:jc w:val="right"/>
            </w:pPr>
            <w:r>
              <w:rPr>
                <w:rFonts w:ascii="Times New Roman" w:cs="Times New Roman" w:eastAsia="Times New Roman" w:hAnsi="Times New Roman"/>
                <w:sz w:val="18"/>
                <w:szCs w:val="18"/>
              </w:rPr>
              <w:t xml:space="preserve">0.2017</w:t>
            </w:r>
          </w:p>
        </w:tc>
      </w:tr>
      <w:tr>
        <w:tc>
          <w:tcPr>
            <w:tcW w:type="dxa" w:w="640"/>
            <w:tcBorders>
              <w:top w:val="none" w:color="FFFFFF" w:sz="0"/>
              <w:left w:val="none" w:color="FFFFFF" w:sz="0"/>
              <w:bottom w:val="single" w:color="000000" w:sz="8"/>
              <w:right w:val="none" w:color="FFFFFF" w:sz="0"/>
            </w:tcBorders>
            <w:tcMar>
              <w:top w:type="dxa" w:w="30"/>
              <w:left w:type="dxa" w:w="60"/>
              <w:bottom w:type="dxa" w:w="30"/>
              <w:right w:type="dxa" w:w="60"/>
            </w:tcMar>
          </w:tcPr>
          <w:p>
            <w:pPr>
              <w:jc w:val="left"/>
            </w:pPr>
            <w:r>
              <w:rPr>
                <w:rFonts w:ascii="Times New Roman" w:cs="Times New Roman" w:eastAsia="Times New Roman" w:hAnsi="Times New Roman"/>
                <w:sz w:val="18"/>
                <w:szCs w:val="18"/>
              </w:rPr>
              <w:t xml:space="preserve">E</w:t>
            </w:r>
          </w:p>
        </w:tc>
        <w:tc>
          <w:tcPr>
            <w:tcW w:type="dxa" w:w="940"/>
            <w:tcBorders>
              <w:top w:val="none" w:color="FFFFFF" w:sz="0"/>
              <w:left w:val="none" w:color="FFFFFF" w:sz="0"/>
              <w:bottom w:val="single" w:color="000000" w:sz="8"/>
              <w:right w:val="none" w:color="FFFFFF" w:sz="0"/>
            </w:tcBorders>
            <w:tcMar>
              <w:top w:type="dxa" w:w="30"/>
              <w:left w:type="dxa" w:w="60"/>
              <w:bottom w:type="dxa" w:w="30"/>
              <w:right w:type="dxa" w:w="60"/>
            </w:tcMar>
          </w:tcPr>
          <w:p>
            <w:pPr>
              <w:jc w:val="right"/>
            </w:pPr>
            <w:r>
              <w:rPr>
                <w:rFonts w:ascii="Times New Roman" w:cs="Times New Roman" w:eastAsia="Times New Roman" w:hAnsi="Times New Roman"/>
                <w:sz w:val="18"/>
                <w:szCs w:val="18"/>
              </w:rPr>
              <w:t xml:space="preserve">50</w:t>
            </w:r>
          </w:p>
        </w:tc>
        <w:tc>
          <w:tcPr>
            <w:tcW w:type="dxa" w:w="1020"/>
            <w:tcBorders>
              <w:top w:val="none" w:color="FFFFFF" w:sz="0"/>
              <w:left w:val="none" w:color="FFFFFF" w:sz="0"/>
              <w:bottom w:val="single" w:color="000000" w:sz="8"/>
              <w:right w:val="none" w:color="FFFFFF" w:sz="0"/>
            </w:tcBorders>
            <w:tcMar>
              <w:top w:type="dxa" w:w="30"/>
              <w:left w:type="dxa" w:w="60"/>
              <w:bottom w:type="dxa" w:w="30"/>
              <w:right w:type="dxa" w:w="60"/>
            </w:tcMar>
          </w:tcPr>
          <w:p>
            <w:pPr>
              <w:jc w:val="right"/>
            </w:pPr>
            <w:r>
              <w:rPr>
                <w:rFonts w:ascii="Times New Roman" w:cs="Times New Roman" w:eastAsia="Times New Roman" w:hAnsi="Times New Roman"/>
                <w:sz w:val="18"/>
                <w:szCs w:val="18"/>
              </w:rPr>
              <w:t xml:space="preserve">0.8889</w:t>
            </w:r>
          </w:p>
        </w:tc>
        <w:tc>
          <w:tcPr>
            <w:tcW w:type="dxa" w:w="680"/>
            <w:tcBorders>
              <w:top w:val="none" w:color="FFFFFF" w:sz="0"/>
              <w:left w:val="none" w:color="FFFFFF" w:sz="0"/>
              <w:bottom w:val="single" w:color="000000" w:sz="8"/>
              <w:right w:val="none" w:color="FFFFFF" w:sz="0"/>
            </w:tcBorders>
            <w:tcMar>
              <w:top w:type="dxa" w:w="30"/>
              <w:left w:type="dxa" w:w="60"/>
              <w:bottom w:type="dxa" w:w="30"/>
              <w:right w:type="dxa" w:w="60"/>
            </w:tcMar>
          </w:tcPr>
          <w:p>
            <w:pPr>
              <w:jc w:val="right"/>
            </w:pPr>
            <w:r>
              <w:rPr>
                <w:rFonts w:ascii="Times New Roman" w:cs="Times New Roman" w:eastAsia="Times New Roman" w:hAnsi="Times New Roman"/>
                <w:sz w:val="18"/>
                <w:szCs w:val="18"/>
              </w:rPr>
              <w:t xml:space="preserve">0.0000</w:t>
            </w:r>
          </w:p>
        </w:tc>
        <w:tc>
          <w:tcPr>
            <w:tcW w:type="dxa" w:w="820"/>
            <w:tcBorders>
              <w:top w:val="none" w:color="FFFFFF" w:sz="0"/>
              <w:left w:val="none" w:color="FFFFFF" w:sz="0"/>
              <w:bottom w:val="single" w:color="000000" w:sz="8"/>
              <w:right w:val="none" w:color="FFFFFF" w:sz="0"/>
            </w:tcBorders>
            <w:tcMar>
              <w:top w:type="dxa" w:w="30"/>
              <w:left w:type="dxa" w:w="60"/>
              <w:bottom w:type="dxa" w:w="30"/>
              <w:right w:type="dxa" w:w="60"/>
            </w:tcMar>
          </w:tcPr>
          <w:p>
            <w:pPr>
              <w:jc w:val="right"/>
            </w:pPr>
            <w:r>
              <w:rPr>
                <w:rFonts w:ascii="Times New Roman" w:cs="Times New Roman" w:eastAsia="Times New Roman" w:hAnsi="Times New Roman"/>
                <w:sz w:val="18"/>
                <w:szCs w:val="18"/>
              </w:rPr>
              <w:t xml:space="preserve">0.4485</w:t>
            </w:r>
          </w:p>
        </w:tc>
        <w:tc>
          <w:tcPr>
            <w:tcW w:type="dxa" w:w="760"/>
            <w:tcBorders>
              <w:top w:val="none" w:color="FFFFFF" w:sz="0"/>
              <w:left w:val="none" w:color="FFFFFF" w:sz="0"/>
              <w:bottom w:val="single" w:color="000000" w:sz="8"/>
              <w:right w:val="none" w:color="FFFFFF" w:sz="0"/>
            </w:tcBorders>
            <w:tcMar>
              <w:top w:type="dxa" w:w="30"/>
              <w:left w:type="dxa" w:w="60"/>
              <w:bottom w:type="dxa" w:w="30"/>
              <w:right w:type="dxa" w:w="60"/>
            </w:tcMar>
          </w:tcPr>
          <w:p>
            <w:pPr>
              <w:jc w:val="right"/>
            </w:pPr>
            <w:r>
              <w:rPr>
                <w:rFonts w:ascii="Times New Roman" w:cs="Times New Roman" w:eastAsia="Times New Roman" w:hAnsi="Times New Roman"/>
                <w:sz w:val="18"/>
                <w:szCs w:val="18"/>
              </w:rPr>
              <w:t xml:space="preserve">5.0392</w:t>
            </w:r>
          </w:p>
        </w:tc>
      </w:tr>
    </w:tbl>
    <w:p>
      <w:pPr>
        <w:spacing w:after="120"/>
      </w:pPr>
    </w:p>
    <w:p>
      <w:pPr>
        <w:pStyle w:val="Heading2"/>
        <w:spacing w:after="100" w:before="180"/>
        <w:jc w:val="left"/>
      </w:pPr>
      <w:r>
        <w:rPr>
          <w:rFonts w:ascii="Times New Roman" w:cs="Times New Roman" w:eastAsia="Times New Roman" w:hAnsi="Times New Roman"/>
          <w:i/>
          <w:iCs/>
          <w:sz w:val="20"/>
          <w:szCs w:val="20"/>
        </w:rPr>
        <w:t xml:space="preserve">B. The Reliability Cliff</w:t>
      </w:r>
    </w:p>
    <w:p>
      <w:pPr>
        <w:jc w:val="both"/>
      </w:pPr>
      <w:r>
        <w:rPr>
          <w:rFonts w:ascii="Times New Roman" w:cs="Times New Roman" w:eastAsia="Times New Roman" w:hAnsi="Times New Roman"/>
          <w:sz w:val="20"/>
          <w:szCs w:val="20"/>
        </w:rPr>
        <w:t xml:space="preserve">Baseline rank agreement ρ against the Tenant A reference traces a near-monotonic descent: 1.0000 → 0.8571 → 0.6429 → 0.6154 → 0.4485. The conventional reliability bound ρ ≥ 0.70 is crossed for the first time at Tenant C—exactly at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t</w:t>
      </w:r>
      <w:r>
        <w:rPr>
          <w:rFonts w:ascii="Times New Roman" w:cs="Times New Roman" w:eastAsia="Times New Roman" w:hAnsi="Times New Roman"/>
          <w:sz w:val="20"/>
          <w:szCs w:val="20"/>
        </w:rPr>
        <w:t xml:space="preserve"> = 1,000 (Fig. 2). This is the empirical anchor for the threshold in Eq. (1).</w:t>
      </w:r>
    </w:p>
    <w:p>
      <w:pPr>
        <w:spacing w:after="40" w:before="160"/>
        <w:jc w:val="center"/>
      </w:pPr>
      <w:r>
        <w:drawing>
          <wp:inline distT="0" distB="0" distL="0" distR="0">
            <wp:extent cx="2971800" cy="1628775"/>
            <wp:effectExtent t="0" r="0" b="0" l="0"/>
            <wp:docPr id="1" name="Reliability cliff" descr="Reliability cliff" title="Reliability cl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971800" cy="1628775"/>
                    </a:xfrm>
                    <a:prstGeom prst="rect">
                      <a:avLst/>
                    </a:prstGeom>
                  </pic:spPr>
                </pic:pic>
              </a:graphicData>
            </a:graphic>
          </wp:inline>
        </w:drawing>
      </w:r>
    </w:p>
    <w:p>
      <w:pPr>
        <w:spacing w:after="160" w:before="80"/>
        <w:jc w:val="both"/>
      </w:pPr>
      <w:r>
        <w:rPr>
          <w:rFonts w:ascii="Times New Roman" w:cs="Times New Roman" w:eastAsia="Times New Roman" w:hAnsi="Times New Roman"/>
          <w:sz w:val="18"/>
          <w:szCs w:val="18"/>
        </w:rPr>
        <w:t xml:space="preserve">Fig. 2.  Reliability cliff. Baseline rank agreement of SHAP global importances against Tenant A vs log</w:t>
      </w:r>
      <w:r>
        <w:rPr>
          <w:rFonts w:ascii="Times New Roman" w:cs="Times New Roman" w:eastAsia="Times New Roman" w:hAnsi="Times New Roman"/>
          <w:sz w:val="18"/>
          <w:szCs w:val="18"/>
          <w:vertAlign w:val="subscript"/>
        </w:rPr>
        <w:t xml:space="preserve">10</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n</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18"/>
          <w:szCs w:val="18"/>
        </w:rPr>
        <w:t xml:space="preserve">. The horizontal dashed line marks the conventional ρ = 0.70 bound; the vertical dashed line marks the empirical crossing at </w:t>
      </w:r>
      <w:r>
        <w:rPr>
          <w:rFonts w:ascii="Times New Roman" w:cs="Times New Roman" w:eastAsia="Times New Roman" w:hAnsi="Times New Roman"/>
          <w:i/>
          <w:iCs/>
          <w:sz w:val="18"/>
          <w:szCs w:val="18"/>
        </w:rPr>
        <w:t xml:space="preserve">n</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18"/>
          <w:szCs w:val="18"/>
        </w:rPr>
        <w:t xml:space="preserve"> = 1,000.</w:t>
      </w:r>
    </w:p>
    <w:p>
      <w:pPr>
        <w:spacing w:before="100"/>
        <w:jc w:val="both"/>
      </w:pPr>
      <w:r>
        <w:rPr>
          <w:rFonts w:ascii="Times New Roman" w:cs="Times New Roman" w:eastAsia="Times New Roman" w:hAnsi="Times New Roman"/>
          <w:b/>
          <w:bCs/>
          <w:i/>
          <w:iCs/>
          <w:sz w:val="20"/>
          <w:szCs w:val="20"/>
        </w:rPr>
        <w:t xml:space="preserve">An anti-pattern caveat.</w:t>
      </w:r>
      <w:r>
        <w:rPr>
          <w:rFonts w:ascii="Times New Roman" w:cs="Times New Roman" w:eastAsia="Times New Roman" w:hAnsi="Times New Roman"/>
          <w:sz w:val="20"/>
          <w:szCs w:val="20"/>
        </w:rPr>
        <w:t xml:space="preserve"> Below τ, the effective feature support also collapses (Tenant D’s mass concentrates on two features; Tenant E’s on a single feature). When the ranking domain collapses, ρ against the reference becomes a Spearman of a degenerate ranking, and residual orderings can </w:t>
      </w:r>
      <w:r>
        <w:rPr>
          <w:rFonts w:ascii="Times New Roman" w:cs="Times New Roman" w:eastAsia="Times New Roman" w:hAnsi="Times New Roman"/>
          <w:i/>
          <w:iCs/>
          <w:sz w:val="20"/>
          <w:szCs w:val="20"/>
        </w:rPr>
        <w:t xml:space="preserve">accidentally</w:t>
      </w:r>
      <w:r>
        <w:rPr>
          <w:rFonts w:ascii="Times New Roman" w:cs="Times New Roman" w:eastAsia="Times New Roman" w:hAnsi="Times New Roman"/>
          <w:sz w:val="20"/>
          <w:szCs w:val="20"/>
        </w:rPr>
        <w:t xml:space="preserve"> agree with the data-rich top-of-list by chance, producing transient apparent recoveries that are not restored fidelity. The mild C–D plateau in Table I is the benign form of this effect; a hypothetical rebound </w:t>
      </w:r>
      <w:r>
        <w:rPr>
          <w:rFonts w:ascii="Times New Roman" w:cs="Times New Roman" w:eastAsia="Times New Roman" w:hAnsi="Times New Roman"/>
          <w:i/>
          <w:iCs/>
          <w:sz w:val="20"/>
          <w:szCs w:val="20"/>
        </w:rPr>
        <w:t xml:space="preserve">above</w:t>
      </w:r>
      <w:r>
        <w:rPr>
          <w:rFonts w:ascii="Times New Roman" w:cs="Times New Roman" w:eastAsia="Times New Roman" w:hAnsi="Times New Roman"/>
          <w:sz w:val="20"/>
          <w:szCs w:val="20"/>
        </w:rPr>
        <w:t xml:space="preserve"> 0.70 at very small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t</w:t>
      </w:r>
      <w:r>
        <w:rPr>
          <w:rFonts w:ascii="Times New Roman" w:cs="Times New Roman" w:eastAsia="Times New Roman" w:hAnsi="Times New Roman"/>
          <w:sz w:val="20"/>
          <w:szCs w:val="20"/>
        </w:rPr>
        <w:t xml:space="preserve"> would be a small-sample-variance artefact that would </w:t>
      </w:r>
      <w:r>
        <w:rPr>
          <w:rFonts w:ascii="Times New Roman" w:cs="Times New Roman" w:eastAsia="Times New Roman" w:hAnsi="Times New Roman"/>
          <w:i/>
          <w:iCs/>
          <w:sz w:val="20"/>
          <w:szCs w:val="20"/>
        </w:rPr>
        <w:t xml:space="preserve">reinforce</w:t>
      </w:r>
      <w:r>
        <w:rPr>
          <w:rFonts w:ascii="Times New Roman" w:cs="Times New Roman" w:eastAsia="Times New Roman" w:hAnsi="Times New Roman"/>
          <w:sz w:val="20"/>
          <w:szCs w:val="20"/>
        </w:rPr>
        <w:t xml:space="preserve">, not undermine, the case for an architectural gate—the explanation surface in that regime is no longer a well-defined statistical object. This is why the gate keys on tenant data volume, an observable architectural quantity, rather than on a runtime estimate of ρ itself.</w:t>
      </w:r>
    </w:p>
    <w:p>
      <w:pPr>
        <w:pStyle w:val="Heading2"/>
        <w:spacing w:after="100" w:before="180"/>
        <w:jc w:val="left"/>
      </w:pPr>
      <w:r>
        <w:rPr>
          <w:rFonts w:ascii="Times New Roman" w:cs="Times New Roman" w:eastAsia="Times New Roman" w:hAnsi="Times New Roman"/>
          <w:i/>
          <w:iCs/>
          <w:sz w:val="20"/>
          <w:szCs w:val="20"/>
        </w:rPr>
        <w:t xml:space="preserve">C. Explanation Volatility Explodes</w:t>
      </w:r>
    </w:p>
    <w:p>
      <w:pPr>
        <w:jc w:val="both"/>
      </w:pPr>
      <w:r>
        <w:rPr>
          <w:rFonts w:ascii="Times New Roman" w:cs="Times New Roman" w:eastAsia="Times New Roman" w:hAnsi="Times New Roman"/>
          <w:sz w:val="20"/>
          <w:szCs w:val="20"/>
        </w:rPr>
        <w:t xml:space="preserve">Absolute-SHAP variance is well-behaved at the data-rich tiers (0.0224, 0.0245), grows modestly at the threshold (0.0510 at C), and then explodes by an order of magnitude at D (0.2017) and by more than two orders of magnitude at E (5.0392, i.e. ~225× the Tenant A baseline). Inspection of the underlying attributions shows the mechanism: at E, a single feature (</w:t>
      </w:r>
      <w:r>
        <w:rPr>
          <w:rFonts w:ascii="Courier New" w:cs="Courier New" w:eastAsia="Courier New" w:hAnsi="Courier New"/>
          <w:sz w:val="20"/>
          <w:szCs w:val="20"/>
        </w:rPr>
        <w:t xml:space="preserve">estimated_delivery_days</w:t>
      </w:r>
      <w:r>
        <w:rPr>
          <w:rFonts w:ascii="Times New Roman" w:cs="Times New Roman" w:eastAsia="Times New Roman" w:hAnsi="Times New Roman"/>
          <w:sz w:val="20"/>
          <w:szCs w:val="20"/>
        </w:rPr>
        <w:t xml:space="preserve">) carries an attribution of 4.77, while the second feature collapses to 0.19. This is what we call the “grasping at straws” effect—explanation mass concentrated on whichever feature happened to discriminate on the few available training rows, surfaced to the end user as a confident SHAP plot.</w:t>
      </w:r>
    </w:p>
    <w:p>
      <w:pPr>
        <w:pStyle w:val="Heading2"/>
        <w:spacing w:after="100" w:before="180"/>
        <w:jc w:val="left"/>
      </w:pPr>
      <w:r>
        <w:rPr>
          <w:rFonts w:ascii="Times New Roman" w:cs="Times New Roman" w:eastAsia="Times New Roman" w:hAnsi="Times New Roman"/>
          <w:i/>
          <w:iCs/>
          <w:sz w:val="20"/>
          <w:szCs w:val="20"/>
        </w:rPr>
        <w:t xml:space="preserve">D. Cross-Task Replication</w:t>
      </w:r>
    </w:p>
    <w:p>
      <w:pPr>
        <w:jc w:val="both"/>
      </w:pPr>
      <w:r>
        <w:rPr>
          <w:rFonts w:ascii="Times New Roman" w:cs="Times New Roman" w:eastAsia="Times New Roman" w:hAnsi="Times New Roman"/>
          <w:sz w:val="20"/>
          <w:szCs w:val="20"/>
        </w:rPr>
        <w:t xml:space="preserve">On the IBM HR Attrition corpus the same qualitative pattern recurs: AUC-ROC is near chance on the smaller tiers while ρ against the data-rich reference deteriorates and absolute-SHAP variance grows. On the synthetic CRM Lead Scoring corpus the data-rich reference reaches AUC-ROC = 0.719 and the cold-start sub-tiers reproduce both characteristic symptoms (rank-correlation decay and variance inflation). The pattern is therefore not a peculiarity of the Olist substrate; it is the expected behaviour of sample-based post-hoc XAI under a shared-model multi-tenant deployment with vastly heterogeneous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t</w:t>
      </w:r>
      <w:r>
        <w:rPr>
          <w:rFonts w:ascii="Times New Roman" w:cs="Times New Roman" w:eastAsia="Times New Roman" w:hAnsi="Times New Roman"/>
          <w:sz w:val="20"/>
          <w:szCs w:val="20"/>
        </w:rPr>
        <w:t xml:space="preserve">.</w:t>
      </w:r>
    </w:p>
    <w:p>
      <w:pPr>
        <w:pStyle w:val="Heading1"/>
        <w:spacing w:after="120" w:before="220"/>
        <w:jc w:val="center"/>
      </w:pPr>
      <w:r>
        <w:rPr>
          <w:rFonts w:ascii="Times New Roman" w:cs="Times New Roman" w:eastAsia="Times New Roman" w:hAnsi="Times New Roman"/>
          <w:smallCaps/>
          <w:sz w:val="20"/>
          <w:szCs w:val="20"/>
        </w:rPr>
        <w:t xml:space="preserve">VI.  Architectural Pattern: Maturity-Aware AI Routing</w:t>
      </w:r>
    </w:p>
    <w:p>
      <w:pPr>
        <w:spacing w:after="60"/>
        <w:jc w:val="both"/>
      </w:pPr>
      <w:r>
        <w:rPr>
          <w:rFonts w:ascii="Times New Roman" w:cs="Times New Roman" w:eastAsia="Times New Roman" w:hAnsi="Times New Roman"/>
          <w:sz w:val="20"/>
          <w:szCs w:val="20"/>
        </w:rPr>
        <w:t xml:space="preserve">The routing rule of Eq. (1) is implemented as a single public method on the platform’s predictor service, </w:t>
      </w:r>
      <w:r>
        <w:rPr>
          <w:rFonts w:ascii="Courier New" w:cs="Courier New" w:eastAsia="Courier New" w:hAnsi="Courier New"/>
          <w:sz w:val="20"/>
          <w:szCs w:val="20"/>
        </w:rPr>
        <w:t xml:space="preserve">predict_or_heuristic(invoice)</w:t>
      </w:r>
      <w:r>
        <w:rPr>
          <w:rFonts w:ascii="Times New Roman" w:cs="Times New Roman" w:eastAsia="Times New Roman" w:hAnsi="Times New Roman"/>
          <w:sz w:val="20"/>
          <w:szCs w:val="20"/>
        </w:rPr>
        <w:t xml:space="preserve"> (the Django class is named </w:t>
      </w:r>
      <w:r>
        <w:rPr>
          <w:rFonts w:ascii="Courier New" w:cs="Courier New" w:eastAsia="Courier New" w:hAnsi="Courier New"/>
          <w:sz w:val="20"/>
          <w:szCs w:val="20"/>
        </w:rPr>
        <w:t xml:space="preserve">LatePaymentPredictor</w:t>
      </w:r>
      <w:r>
        <w:rPr>
          <w:rFonts w:ascii="Times New Roman" w:cs="Times New Roman" w:eastAsia="Times New Roman" w:hAnsi="Times New Roman"/>
          <w:sz w:val="20"/>
          <w:szCs w:val="20"/>
        </w:rPr>
        <w:t xml:space="preserve">; the same class is reused, unchanged, for the Late Delivery Risk experiment). The method inspects </w:t>
      </w:r>
      <w:r>
        <w:rPr>
          <w:rFonts w:ascii="Courier New" w:cs="Courier New" w:eastAsia="Courier New" w:hAnsi="Courier New"/>
          <w:sz w:val="20"/>
          <w:szCs w:val="20"/>
        </w:rPr>
        <w:t xml:space="preserve">_invoice_count()</w:t>
      </w:r>
      <w:r>
        <w:rPr>
          <w:rFonts w:ascii="Times New Roman" w:cs="Times New Roman" w:eastAsia="Times New Roman" w:hAnsi="Times New Roman"/>
          <w:sz w:val="20"/>
          <w:szCs w:val="20"/>
        </w:rPr>
        <w:t xml:space="preserve"> and dispatches to one of two private branches:</w:t>
      </w:r>
    </w:p>
    <w:p>
      <w:pPr>
        <w:pStyle w:val="ListParagraph"/>
        <w:numPr>
          <w:ilvl w:val="0"/>
          <w:numId w:val="3"/>
        </w:numPr>
        <w:spacing w:after="60"/>
        <w:jc w:val="both"/>
      </w:pPr>
      <w:r>
        <w:rPr>
          <w:rFonts w:ascii="Courier New" w:cs="Courier New" w:eastAsia="Courier New" w:hAnsi="Courier New"/>
          <w:sz w:val="20"/>
          <w:szCs w:val="20"/>
        </w:rPr>
        <w:t xml:space="preserve">_load_global_heuristic()</w:t>
      </w:r>
      <w:r>
        <w:rPr>
          <w:rFonts w:ascii="Times New Roman" w:cs="Times New Roman" w:eastAsia="Times New Roman" w:hAnsi="Times New Roman"/>
          <w:sz w:val="20"/>
          <w:szCs w:val="20"/>
        </w:rPr>
        <w:t xml:space="preserve">—a memoised loader that reads the cross-tenant SHAP feature-importance artefact </w:t>
      </w:r>
      <w:r>
        <w:rPr>
          <w:rFonts w:ascii="Courier New" w:cs="Courier New" w:eastAsia="Courier New" w:hAnsi="Courier New"/>
          <w:sz w:val="20"/>
          <w:szCs w:val="20"/>
        </w:rPr>
        <w:t xml:space="preserve">cold_start_heuristic.json</w:t>
      </w:r>
      <w:r>
        <w:rPr>
          <w:rFonts w:ascii="Times New Roman" w:cs="Times New Roman" w:eastAsia="Times New Roman" w:hAnsi="Times New Roman"/>
          <w:sz w:val="20"/>
          <w:szCs w:val="20"/>
        </w:rPr>
        <w:t xml:space="preserve"> from disk and returns it as a structured explanation payload;</w:t>
      </w:r>
    </w:p>
    <w:p>
      <w:pPr>
        <w:pStyle w:val="ListParagraph"/>
        <w:numPr>
          <w:ilvl w:val="0"/>
          <w:numId w:val="3"/>
        </w:numPr>
        <w:spacing w:after="100"/>
        <w:jc w:val="both"/>
      </w:pPr>
      <w:r>
        <w:rPr>
          <w:rFonts w:ascii="Courier New" w:cs="Courier New" w:eastAsia="Courier New" w:hAnsi="Courier New"/>
          <w:sz w:val="20"/>
          <w:szCs w:val="20"/>
        </w:rPr>
        <w:t xml:space="preserve">predict()</w:t>
      </w:r>
      <w:r>
        <w:rPr>
          <w:rFonts w:ascii="Times New Roman" w:cs="Times New Roman" w:eastAsia="Times New Roman" w:hAnsi="Times New Roman"/>
          <w:sz w:val="20"/>
          <w:szCs w:val="20"/>
        </w:rPr>
        <w:t xml:space="preserve">—the existing per-tenant ML inference and SHAP/LIME explanation routine, left fully unchanged.</w:t>
      </w:r>
    </w:p>
    <w:p>
      <w:pPr>
        <w:jc w:val="both"/>
      </w:pPr>
      <w:r>
        <w:rPr>
          <w:rFonts w:ascii="Times New Roman" w:cs="Times New Roman" w:eastAsia="Times New Roman" w:hAnsi="Times New Roman"/>
          <w:sz w:val="20"/>
          <w:szCs w:val="20"/>
        </w:rPr>
        <w:t xml:space="preserve">The two branches conform to a single response schema—{</w:t>
      </w:r>
      <w:r>
        <w:rPr>
          <w:rFonts w:ascii="Times New Roman" w:cs="Times New Roman" w:eastAsia="Times New Roman" w:hAnsi="Times New Roman"/>
          <w:i/>
          <w:iCs/>
          <w:sz w:val="20"/>
          <w:szCs w:val="20"/>
        </w:rPr>
        <w:t xml:space="preserve">mode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threshold</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count</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explanation</w:t>
      </w:r>
      <w:r>
        <w:rPr>
          <w:rFonts w:ascii="Times New Roman" w:cs="Times New Roman" w:eastAsia="Times New Roman" w:hAnsi="Times New Roman"/>
          <w:sz w:val="20"/>
          <w:szCs w:val="20"/>
        </w:rPr>
        <w:t xml:space="preserve">}—so downstream consumers can be agnostic to which branch executed while still being able to surface the routing decision (</w:t>
      </w:r>
      <w:r>
        <w:rPr>
          <w:rFonts w:ascii="Times New Roman" w:cs="Times New Roman" w:eastAsia="Times New Roman" w:hAnsi="Times New Roman"/>
          <w:i/>
          <w:iCs/>
          <w:sz w:val="20"/>
          <w:szCs w:val="20"/>
        </w:rPr>
        <w:t xml:space="preserve">mode</w:t>
      </w:r>
      <w:r>
        <w:rPr>
          <w:rFonts w:ascii="Times New Roman" w:cs="Times New Roman" w:eastAsia="Times New Roman" w:hAnsi="Times New Roman"/>
          <w:sz w:val="20"/>
          <w:szCs w:val="20"/>
        </w:rPr>
        <w:t xml:space="preserve">) to the end user. The artefact itself is generated once offline at the end of the sparsity experiment (top-</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5 from the Tenant A global mean-absolute-SHAP vector, plus the tenant size, prevalence and a short human-readable reason string), serialised to JSON, and versioned alongside the trained models. At runtime the artefact is cached after first read so cold-start prediction incurs no per-request I/O.</w:t>
      </w:r>
    </w:p>
    <w:p>
      <w:pPr>
        <w:ind w:firstLine="288"/>
        <w:jc w:val="both"/>
      </w:pPr>
      <w:r>
        <w:rPr>
          <w:rFonts w:ascii="Times New Roman" w:cs="Times New Roman" w:eastAsia="Times New Roman" w:hAnsi="Times New Roman"/>
          <w:sz w:val="20"/>
          <w:szCs w:val="20"/>
        </w:rPr>
        <w:t xml:space="preserve">The pattern is intentionally </w:t>
      </w:r>
      <w:r>
        <w:rPr>
          <w:rFonts w:ascii="Times New Roman" w:cs="Times New Roman" w:eastAsia="Times New Roman" w:hAnsi="Times New Roman"/>
          <w:i/>
          <w:iCs/>
          <w:sz w:val="20"/>
          <w:szCs w:val="20"/>
        </w:rPr>
        <w:t xml:space="preserve">additive</w:t>
      </w:r>
      <w:r>
        <w:rPr>
          <w:rFonts w:ascii="Times New Roman" w:cs="Times New Roman" w:eastAsia="Times New Roman" w:hAnsi="Times New Roman"/>
          <w:sz w:val="20"/>
          <w:szCs w:val="20"/>
        </w:rPr>
        <w:t xml:space="preserve">: it can be enabled by switching call sites from </w:t>
      </w:r>
      <w:r>
        <w:rPr>
          <w:rFonts w:ascii="Courier New" w:cs="Courier New" w:eastAsia="Courier New" w:hAnsi="Courier New"/>
          <w:sz w:val="20"/>
          <w:szCs w:val="20"/>
        </w:rPr>
        <w:t xml:space="preserve">predict()</w:t>
      </w:r>
      <w:r>
        <w:rPr>
          <w:rFonts w:ascii="Times New Roman" w:cs="Times New Roman" w:eastAsia="Times New Roman" w:hAnsi="Times New Roman"/>
          <w:sz w:val="20"/>
          <w:szCs w:val="20"/>
        </w:rPr>
        <w:t xml:space="preserve"> to </w:t>
      </w:r>
      <w:r>
        <w:rPr>
          <w:rFonts w:ascii="Courier New" w:cs="Courier New" w:eastAsia="Courier New" w:hAnsi="Courier New"/>
          <w:sz w:val="20"/>
          <w:szCs w:val="20"/>
        </w:rPr>
        <w:t xml:space="preserve">predict_or_heuristic()</w:t>
      </w:r>
      <w:r>
        <w:rPr>
          <w:rFonts w:ascii="Times New Roman" w:cs="Times New Roman" w:eastAsia="Times New Roman" w:hAnsi="Times New Roman"/>
          <w:sz w:val="20"/>
          <w:szCs w:val="20"/>
        </w:rPr>
        <w:t xml:space="preserve">, and rolled back by reversing the same switch, without any database migration or downtime. This is what makes the gate deployable as a systems-level control in production multi-tenant ERPs.</w:t>
      </w:r>
    </w:p>
    <w:p>
      <w:pPr>
        <w:pStyle w:val="Heading1"/>
        <w:spacing w:after="120" w:before="220"/>
        <w:jc w:val="center"/>
      </w:pPr>
      <w:r>
        <w:rPr>
          <w:rFonts w:ascii="Times New Roman" w:cs="Times New Roman" w:eastAsia="Times New Roman" w:hAnsi="Times New Roman"/>
          <w:smallCaps/>
          <w:sz w:val="20"/>
          <w:szCs w:val="20"/>
        </w:rPr>
        <w:t xml:space="preserve">VII.  Threats to Validity</w:t>
      </w:r>
    </w:p>
    <w:p>
      <w:pPr>
        <w:spacing w:after="100"/>
        <w:jc w:val="both"/>
      </w:pPr>
      <w:r>
        <w:rPr>
          <w:rFonts w:ascii="Times New Roman" w:cs="Times New Roman" w:eastAsia="Times New Roman" w:hAnsi="Times New Roman"/>
          <w:b/>
          <w:bCs/>
          <w:i/>
          <w:iCs/>
          <w:sz w:val="20"/>
          <w:szCs w:val="20"/>
        </w:rPr>
        <w:t xml:space="preserve">Construct validity.</w:t>
      </w:r>
      <w:r>
        <w:rPr>
          <w:rFonts w:ascii="Times New Roman" w:cs="Times New Roman" w:eastAsia="Times New Roman" w:hAnsi="Times New Roman"/>
          <w:sz w:val="20"/>
          <w:szCs w:val="20"/>
        </w:rPr>
        <w:t xml:space="preserve"> The Late Delivery Risk target is not identical to late payment in a financial sense; it is used here as a structural proxy for ERP-style operational-risk prediction. The architectural gate, the global-heuristic artefact, and the response schema are unchanged between the two substrates. We therefore claim external validity for the architectural pattern, not for the specific empirical numbers in Table I.</w:t>
      </w:r>
    </w:p>
    <w:p>
      <w:pPr>
        <w:spacing w:after="100"/>
        <w:jc w:val="both"/>
      </w:pPr>
      <w:r>
        <w:rPr>
          <w:rFonts w:ascii="Times New Roman" w:cs="Times New Roman" w:eastAsia="Times New Roman" w:hAnsi="Times New Roman"/>
          <w:b/>
          <w:bCs/>
          <w:i/>
          <w:iCs/>
          <w:sz w:val="20"/>
          <w:szCs w:val="20"/>
        </w:rPr>
        <w:t xml:space="preserve">Internal validity.</w:t>
      </w:r>
      <w:r>
        <w:rPr>
          <w:rFonts w:ascii="Times New Roman" w:cs="Times New Roman" w:eastAsia="Times New Roman" w:hAnsi="Times New Roman"/>
          <w:sz w:val="20"/>
          <w:szCs w:val="20"/>
        </w:rPr>
        <w:t xml:space="preserve"> Tenants are simulated by stratified down-sampling rather than drawn from distinct organisations. Class prevalence and the hold-out evaluation set are held constant across tiers to isolate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t</w:t>
      </w:r>
      <w:r>
        <w:rPr>
          <w:rFonts w:ascii="Times New Roman" w:cs="Times New Roman" w:eastAsia="Times New Roman" w:hAnsi="Times New Roman"/>
          <w:sz w:val="20"/>
          <w:szCs w:val="20"/>
        </w:rPr>
        <w:t xml:space="preserve"> as the manipulated variable. The reported AUC-ROC, F1, ρ and σ² values are obtained under a strict order-time leakage screen; introducing post-shipment features inflates AUC-ROC to &gt; 0.99 on the same task, masking the cliff.</w:t>
      </w:r>
    </w:p>
    <w:p>
      <w:pPr>
        <w:spacing w:after="100"/>
        <w:jc w:val="both"/>
      </w:pPr>
      <w:r>
        <w:rPr>
          <w:rFonts w:ascii="Times New Roman" w:cs="Times New Roman" w:eastAsia="Times New Roman" w:hAnsi="Times New Roman"/>
          <w:b/>
          <w:bCs/>
          <w:i/>
          <w:iCs/>
          <w:sz w:val="20"/>
          <w:szCs w:val="20"/>
        </w:rPr>
        <w:t xml:space="preserve">Reference-aligned, not ground-truth.</w:t>
      </w:r>
      <w:r>
        <w:rPr>
          <w:rFonts w:ascii="Times New Roman" w:cs="Times New Roman" w:eastAsia="Times New Roman" w:hAnsi="Times New Roman"/>
          <w:sz w:val="20"/>
          <w:szCs w:val="20"/>
        </w:rPr>
        <w:t xml:space="preserve"> ρ against Tenant A is a baseline rank agreement, not a ground-truth fidelity claim. Tenant A itself has AUC-ROC = 0.6556 and F1 = 0.0263 under the leakage-free regime, and its SHAP ranking is therefore the most data-supported reference available within the experiment, not a gold standard.</w:t>
      </w:r>
    </w:p>
    <w:p>
      <w:pPr>
        <w:jc w:val="both"/>
      </w:pPr>
      <w:r>
        <w:rPr>
          <w:rFonts w:ascii="Times New Roman" w:cs="Times New Roman" w:eastAsia="Times New Roman" w:hAnsi="Times New Roman"/>
          <w:b/>
          <w:bCs/>
          <w:i/>
          <w:iCs/>
          <w:sz w:val="20"/>
          <w:szCs w:val="20"/>
        </w:rPr>
        <w:t xml:space="preserve">External validity.</w:t>
      </w:r>
      <w:r>
        <w:rPr>
          <w:rFonts w:ascii="Times New Roman" w:cs="Times New Roman" w:eastAsia="Times New Roman" w:hAnsi="Times New Roman"/>
          <w:sz w:val="20"/>
          <w:szCs w:val="20"/>
        </w:rPr>
        <w:t xml:space="preserve"> Replication on HR Attrition and CRM Lead Scoring supports the architectural finding qualitatively. A multi-organisation field study (multiple real tenants of the same deployed ERP, varying naturally in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t</w:t>
      </w:r>
      <w:r>
        <w:rPr>
          <w:rFonts w:ascii="Times New Roman" w:cs="Times New Roman" w:eastAsia="Times New Roman" w:hAnsi="Times New Roman"/>
          <w:sz w:val="20"/>
          <w:szCs w:val="20"/>
        </w:rPr>
        <w:t xml:space="preserve">) would be the natural next step.</w:t>
      </w:r>
    </w:p>
    <w:p>
      <w:pPr>
        <w:pStyle w:val="Heading1"/>
        <w:spacing w:after="120" w:before="220"/>
        <w:jc w:val="center"/>
      </w:pPr>
      <w:r>
        <w:rPr>
          <w:rFonts w:ascii="Times New Roman" w:cs="Times New Roman" w:eastAsia="Times New Roman" w:hAnsi="Times New Roman"/>
          <w:smallCaps/>
          <w:sz w:val="20"/>
          <w:szCs w:val="20"/>
        </w:rPr>
        <w:t xml:space="preserve">VIII.  Conclusion</w:t>
      </w:r>
    </w:p>
    <w:p>
      <w:pPr>
        <w:jc w:val="both"/>
      </w:pPr>
      <w:r>
        <w:rPr>
          <w:rFonts w:ascii="Times New Roman" w:cs="Times New Roman" w:eastAsia="Times New Roman" w:hAnsi="Times New Roman"/>
          <w:sz w:val="20"/>
          <w:szCs w:val="20"/>
        </w:rPr>
        <w:t xml:space="preserve">We have shown that, in a multi-tenant ERP setting with strict leakage-avoidance, post-hoc SHAP and LIME explanations exhibit a reliability cliff at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t</w:t>
      </w:r>
      <w:r>
        <w:rPr>
          <w:rFonts w:ascii="Times New Roman" w:cs="Times New Roman" w:eastAsia="Times New Roman" w:hAnsi="Times New Roman"/>
          <w:sz w:val="20"/>
          <w:szCs w:val="20"/>
        </w:rPr>
        <w:t xml:space="preserve"> = 1,000 that classical predictive metrics do not detect, and that the cliff is accompanied by an order-of-magnitude inflation of absolute-SHAP variance as the explanation mass collapses onto a small number of features. The cliff replicates qualitatively on two further ERP-native tasks. To convert the empirical finding into a deployable control, we proposed and implemented </w:t>
      </w:r>
      <w:r>
        <w:rPr>
          <w:rFonts w:ascii="Times New Roman" w:cs="Times New Roman" w:eastAsia="Times New Roman" w:hAnsi="Times New Roman"/>
          <w:i/>
          <w:iCs/>
          <w:sz w:val="20"/>
          <w:szCs w:val="20"/>
        </w:rPr>
        <w:t xml:space="preserve">Maturity-Aware AI Routing</w:t>
      </w:r>
      <w:r>
        <w:rPr>
          <w:rFonts w:ascii="Times New Roman" w:cs="Times New Roman" w:eastAsia="Times New Roman" w:hAnsi="Times New Roman"/>
          <w:sz w:val="20"/>
          <w:szCs w:val="20"/>
        </w:rPr>
        <w:t xml:space="preserve">: a single tier-logic gate whose threshold is grounded in the empirical crossing and whose cold branch returns an auditable, versioned global heuristic instead of a hallucinated local explanation. The pattern is additive and rollback-safe, and is, we argue, the kind of systems-level control that emerging AI-accountability regulation will require operators of multi-tenant predictive ERP services to provide.</w:t>
      </w:r>
    </w:p>
    <w:p>
      <w:pPr>
        <w:pStyle w:val="Heading1"/>
        <w:spacing w:after="120" w:before="220"/>
        <w:jc w:val="center"/>
      </w:pPr>
      <w:r>
        <w:rPr>
          <w:rFonts w:ascii="Times New Roman" w:cs="Times New Roman" w:eastAsia="Times New Roman" w:hAnsi="Times New Roman"/>
          <w:smallCaps/>
          <w:sz w:val="20"/>
          <w:szCs w:val="20"/>
        </w:rPr>
        <w:t xml:space="preserve">Acknowledgements</w:t>
      </w:r>
    </w:p>
    <w:p>
      <w:pPr>
        <w:jc w:val="both"/>
      </w:pPr>
      <w:r>
        <w:rPr>
          <w:rFonts w:ascii="Times New Roman" w:cs="Times New Roman" w:eastAsia="Times New Roman" w:hAnsi="Times New Roman"/>
          <w:sz w:val="20"/>
          <w:szCs w:val="20"/>
        </w:rPr>
        <w:t xml:space="preserve">The author thanks the supervisor, Dr. Eng. Muhammad Ashar, S.T., M.T., for guidance throughout the underlying bachelor-thesis project at the State University of Malang.</w:t>
      </w:r>
    </w:p>
    <w:p>
      <w:pPr>
        <w:pStyle w:val="Heading1"/>
        <w:spacing w:after="120" w:before="220"/>
        <w:jc w:val="center"/>
      </w:pPr>
      <w:r>
        <w:rPr>
          <w:rFonts w:ascii="Times New Roman" w:cs="Times New Roman" w:eastAsia="Times New Roman" w:hAnsi="Times New Roman"/>
          <w:smallCaps/>
          <w:sz w:val="20"/>
          <w:szCs w:val="20"/>
        </w:rPr>
        <w:t xml:space="preserve">References</w:t>
      </w:r>
    </w:p>
    <w:p>
      <w:pPr>
        <w:spacing w:after="60"/>
        <w:ind w:left="360" w:hanging="360"/>
        <w:jc w:val="both"/>
      </w:pPr>
      <w:r>
        <w:rPr>
          <w:rFonts w:ascii="Times New Roman" w:cs="Times New Roman" w:eastAsia="Times New Roman" w:hAnsi="Times New Roman"/>
          <w:sz w:val="18"/>
          <w:szCs w:val="18"/>
        </w:rPr>
        <w:t xml:space="preserve">[1] </w:t>
      </w:r>
      <w:r>
        <w:rPr>
          <w:rFonts w:ascii="Times New Roman" w:cs="Times New Roman" w:eastAsia="Times New Roman" w:hAnsi="Times New Roman"/>
          <w:sz w:val="18"/>
          <w:szCs w:val="18"/>
        </w:rPr>
        <w:t xml:space="preserve">S. M. Lundberg and S.-I. Lee, “A unified approach to interpreting model predictions,” </w:t>
      </w:r>
      <w:r>
        <w:rPr>
          <w:rFonts w:ascii="Times New Roman" w:cs="Times New Roman" w:eastAsia="Times New Roman" w:hAnsi="Times New Roman"/>
          <w:i/>
          <w:iCs/>
          <w:sz w:val="18"/>
          <w:szCs w:val="18"/>
        </w:rPr>
        <w:t xml:space="preserve">Advances in Neural Information Processing Systems</w:t>
      </w:r>
      <w:r>
        <w:rPr>
          <w:rFonts w:ascii="Times New Roman" w:cs="Times New Roman" w:eastAsia="Times New Roman" w:hAnsi="Times New Roman"/>
          <w:sz w:val="18"/>
          <w:szCs w:val="18"/>
        </w:rPr>
        <w:t xml:space="preserve">, vol. 30, 2017.</w:t>
      </w:r>
    </w:p>
    <w:p>
      <w:pPr>
        <w:spacing w:after="60"/>
        <w:ind w:left="360" w:hanging="360"/>
        <w:jc w:val="both"/>
      </w:pPr>
      <w:r>
        <w:rPr>
          <w:rFonts w:ascii="Times New Roman" w:cs="Times New Roman" w:eastAsia="Times New Roman" w:hAnsi="Times New Roman"/>
          <w:sz w:val="18"/>
          <w:szCs w:val="18"/>
        </w:rPr>
        <w:t xml:space="preserve">[2] </w:t>
      </w:r>
      <w:r>
        <w:rPr>
          <w:rFonts w:ascii="Times New Roman" w:cs="Times New Roman" w:eastAsia="Times New Roman" w:hAnsi="Times New Roman"/>
          <w:sz w:val="18"/>
          <w:szCs w:val="18"/>
        </w:rPr>
        <w:t xml:space="preserve">S. M. Lundberg, G. Erion, H. Chen, A. DeGrave, J. M. Prutkin, B. Nair, R. Katz, J. Himmelfarb, N. Bansal, and S.-I. Lee, “From local explanations to global understanding with explainable AI for trees,” </w:t>
      </w:r>
      <w:r>
        <w:rPr>
          <w:rFonts w:ascii="Times New Roman" w:cs="Times New Roman" w:eastAsia="Times New Roman" w:hAnsi="Times New Roman"/>
          <w:i/>
          <w:iCs/>
          <w:sz w:val="18"/>
          <w:szCs w:val="18"/>
        </w:rPr>
        <w:t xml:space="preserve">Nature Machine Intelligence</w:t>
      </w:r>
      <w:r>
        <w:rPr>
          <w:rFonts w:ascii="Times New Roman" w:cs="Times New Roman" w:eastAsia="Times New Roman" w:hAnsi="Times New Roman"/>
          <w:sz w:val="18"/>
          <w:szCs w:val="18"/>
        </w:rPr>
        <w:t xml:space="preserve">, vol. 2, no. 1, pp. 56–67, 2020.</w:t>
      </w:r>
    </w:p>
    <w:p>
      <w:pPr>
        <w:spacing w:after="60"/>
        <w:ind w:left="360" w:hanging="360"/>
        <w:jc w:val="both"/>
      </w:pPr>
      <w:r>
        <w:rPr>
          <w:rFonts w:ascii="Times New Roman" w:cs="Times New Roman" w:eastAsia="Times New Roman" w:hAnsi="Times New Roman"/>
          <w:sz w:val="18"/>
          <w:szCs w:val="18"/>
        </w:rPr>
        <w:t xml:space="preserve">[3] </w:t>
      </w:r>
      <w:r>
        <w:rPr>
          <w:rFonts w:ascii="Times New Roman" w:cs="Times New Roman" w:eastAsia="Times New Roman" w:hAnsi="Times New Roman"/>
          <w:sz w:val="18"/>
          <w:szCs w:val="18"/>
        </w:rPr>
        <w:t xml:space="preserve">M. T. Ribeiro, S. Singh, and C. Guestrin, “‘Why should I trust you?’: Explaining the predictions of any classifier,” in </w:t>
      </w:r>
      <w:r>
        <w:rPr>
          <w:rFonts w:ascii="Times New Roman" w:cs="Times New Roman" w:eastAsia="Times New Roman" w:hAnsi="Times New Roman"/>
          <w:i/>
          <w:iCs/>
          <w:sz w:val="18"/>
          <w:szCs w:val="18"/>
        </w:rPr>
        <w:t xml:space="preserve">Proc. of the 22nd ACM SIGKDD Int. Conf. on Knowledge Discovery and Data Mining</w:t>
      </w:r>
      <w:r>
        <w:rPr>
          <w:rFonts w:ascii="Times New Roman" w:cs="Times New Roman" w:eastAsia="Times New Roman" w:hAnsi="Times New Roman"/>
          <w:sz w:val="18"/>
          <w:szCs w:val="18"/>
        </w:rPr>
        <w:t xml:space="preserve">, 2016, pp. 1135–1144.</w:t>
      </w:r>
    </w:p>
    <w:p>
      <w:pPr>
        <w:spacing w:after="60"/>
        <w:ind w:left="360" w:hanging="360"/>
        <w:jc w:val="both"/>
      </w:pPr>
      <w:r>
        <w:rPr>
          <w:rFonts w:ascii="Times New Roman" w:cs="Times New Roman" w:eastAsia="Times New Roman" w:hAnsi="Times New Roman"/>
          <w:sz w:val="18"/>
          <w:szCs w:val="18"/>
        </w:rPr>
        <w:t xml:space="preserve">[4] </w:t>
      </w:r>
      <w:r>
        <w:rPr>
          <w:rFonts w:ascii="Times New Roman" w:cs="Times New Roman" w:eastAsia="Times New Roman" w:hAnsi="Times New Roman"/>
          <w:sz w:val="18"/>
          <w:szCs w:val="18"/>
        </w:rPr>
        <w:t xml:space="preserve">Z. C. Lipton, “The mythos of model interpretability,” </w:t>
      </w:r>
      <w:r>
        <w:rPr>
          <w:rFonts w:ascii="Times New Roman" w:cs="Times New Roman" w:eastAsia="Times New Roman" w:hAnsi="Times New Roman"/>
          <w:i/>
          <w:iCs/>
          <w:sz w:val="18"/>
          <w:szCs w:val="18"/>
        </w:rPr>
        <w:t xml:space="preserve">Communications of the ACM</w:t>
      </w:r>
      <w:r>
        <w:rPr>
          <w:rFonts w:ascii="Times New Roman" w:cs="Times New Roman" w:eastAsia="Times New Roman" w:hAnsi="Times New Roman"/>
          <w:sz w:val="18"/>
          <w:szCs w:val="18"/>
        </w:rPr>
        <w:t xml:space="preserve">, vol. 61, no. 10, pp. 36–43, 2018.</w:t>
      </w:r>
    </w:p>
    <w:p>
      <w:pPr>
        <w:spacing w:after="60"/>
        <w:ind w:left="360" w:hanging="360"/>
        <w:jc w:val="both"/>
      </w:pPr>
      <w:r>
        <w:rPr>
          <w:rFonts w:ascii="Times New Roman" w:cs="Times New Roman" w:eastAsia="Times New Roman" w:hAnsi="Times New Roman"/>
          <w:sz w:val="18"/>
          <w:szCs w:val="18"/>
        </w:rPr>
        <w:t xml:space="preserve">[5] </w:t>
      </w:r>
      <w:r>
        <w:rPr>
          <w:rFonts w:ascii="Times New Roman" w:cs="Times New Roman" w:eastAsia="Times New Roman" w:hAnsi="Times New Roman"/>
          <w:sz w:val="18"/>
          <w:szCs w:val="18"/>
        </w:rPr>
        <w:t xml:space="preserve">C. Rudin, “Stop explaining black box machine learning models for high stakes decisions and use interpretable models instead,” </w:t>
      </w:r>
      <w:r>
        <w:rPr>
          <w:rFonts w:ascii="Times New Roman" w:cs="Times New Roman" w:eastAsia="Times New Roman" w:hAnsi="Times New Roman"/>
          <w:i/>
          <w:iCs/>
          <w:sz w:val="18"/>
          <w:szCs w:val="18"/>
        </w:rPr>
        <w:t xml:space="preserve">Nature Machine Intelligence</w:t>
      </w:r>
      <w:r>
        <w:rPr>
          <w:rFonts w:ascii="Times New Roman" w:cs="Times New Roman" w:eastAsia="Times New Roman" w:hAnsi="Times New Roman"/>
          <w:sz w:val="18"/>
          <w:szCs w:val="18"/>
        </w:rPr>
        <w:t xml:space="preserve">, vol. 1, no. 5, pp. 206–215, 2019.</w:t>
      </w:r>
    </w:p>
    <w:p>
      <w:pPr>
        <w:spacing w:after="60"/>
        <w:ind w:left="360" w:hanging="360"/>
        <w:jc w:val="both"/>
      </w:pPr>
      <w:r>
        <w:rPr>
          <w:rFonts w:ascii="Times New Roman" w:cs="Times New Roman" w:eastAsia="Times New Roman" w:hAnsi="Times New Roman"/>
          <w:sz w:val="18"/>
          <w:szCs w:val="18"/>
        </w:rPr>
        <w:t xml:space="preserve">[6] </w:t>
      </w:r>
      <w:r>
        <w:rPr>
          <w:rFonts w:ascii="Times New Roman" w:cs="Times New Roman" w:eastAsia="Times New Roman" w:hAnsi="Times New Roman"/>
          <w:sz w:val="18"/>
          <w:szCs w:val="18"/>
        </w:rPr>
        <w:t xml:space="preserve">C.-P. Bezemer and A. Zaidman, “Multi-tenant SaaS applications: maintenance dream or nightmare?” </w:t>
      </w:r>
      <w:r>
        <w:rPr>
          <w:rFonts w:ascii="Times New Roman" w:cs="Times New Roman" w:eastAsia="Times New Roman" w:hAnsi="Times New Roman"/>
          <w:i/>
          <w:iCs/>
          <w:sz w:val="18"/>
          <w:szCs w:val="18"/>
        </w:rPr>
        <w:t xml:space="preserve">Proc. of the Joint ERCIM Workshop on Software Evolution and Int. Workshop on Principles of Software Evolution</w:t>
      </w:r>
      <w:r>
        <w:rPr>
          <w:rFonts w:ascii="Times New Roman" w:cs="Times New Roman" w:eastAsia="Times New Roman" w:hAnsi="Times New Roman"/>
          <w:sz w:val="18"/>
          <w:szCs w:val="18"/>
        </w:rPr>
        <w:t xml:space="preserve">, pp. 88–92, 2010.</w:t>
      </w:r>
    </w:p>
    <w:p>
      <w:pPr>
        <w:spacing w:after="60"/>
        <w:ind w:left="360" w:hanging="360"/>
        <w:jc w:val="both"/>
      </w:pPr>
      <w:r>
        <w:rPr>
          <w:rFonts w:ascii="Times New Roman" w:cs="Times New Roman" w:eastAsia="Times New Roman" w:hAnsi="Times New Roman"/>
          <w:sz w:val="18"/>
          <w:szCs w:val="18"/>
        </w:rPr>
        <w:t xml:space="preserve">[7] </w:t>
      </w:r>
      <w:r>
        <w:rPr>
          <w:rFonts w:ascii="Times New Roman" w:cs="Times New Roman" w:eastAsia="Times New Roman" w:hAnsi="Times New Roman"/>
          <w:sz w:val="18"/>
          <w:szCs w:val="18"/>
        </w:rPr>
        <w:t xml:space="preserve">R. Krebs, C. Momm, and S. Kounev, “Architectural concerns in multi-tenant SaaS applications,” </w:t>
      </w:r>
      <w:r>
        <w:rPr>
          <w:rFonts w:ascii="Times New Roman" w:cs="Times New Roman" w:eastAsia="Times New Roman" w:hAnsi="Times New Roman"/>
          <w:i/>
          <w:iCs/>
          <w:sz w:val="18"/>
          <w:szCs w:val="18"/>
        </w:rPr>
        <w:t xml:space="preserve">Proc. of the 2nd Int. Conf. on Cloud Computing and Services Science</w:t>
      </w:r>
      <w:r>
        <w:rPr>
          <w:rFonts w:ascii="Times New Roman" w:cs="Times New Roman" w:eastAsia="Times New Roman" w:hAnsi="Times New Roman"/>
          <w:sz w:val="18"/>
          <w:szCs w:val="18"/>
        </w:rPr>
        <w:t xml:space="preserve">, 2014.</w:t>
      </w:r>
    </w:p>
    <w:p>
      <w:pPr>
        <w:spacing w:after="60"/>
        <w:ind w:left="360" w:hanging="360"/>
        <w:jc w:val="both"/>
      </w:pPr>
      <w:r>
        <w:rPr>
          <w:rFonts w:ascii="Times New Roman" w:cs="Times New Roman" w:eastAsia="Times New Roman" w:hAnsi="Times New Roman"/>
          <w:sz w:val="18"/>
          <w:szCs w:val="18"/>
        </w:rPr>
        <w:t xml:space="preserve">[8] </w:t>
      </w:r>
      <w:r>
        <w:rPr>
          <w:rFonts w:ascii="Times New Roman" w:cs="Times New Roman" w:eastAsia="Times New Roman" w:hAnsi="Times New Roman"/>
          <w:sz w:val="18"/>
          <w:szCs w:val="18"/>
        </w:rPr>
        <w:t xml:space="preserve">M. Haddara and O. Zach, “ERP systems in SMEs: a literature review,” </w:t>
      </w:r>
      <w:r>
        <w:rPr>
          <w:rFonts w:ascii="Times New Roman" w:cs="Times New Roman" w:eastAsia="Times New Roman" w:hAnsi="Times New Roman"/>
          <w:i/>
          <w:iCs/>
          <w:sz w:val="18"/>
          <w:szCs w:val="18"/>
        </w:rPr>
        <w:t xml:space="preserve">Proc. of the 44th Hawaii Int. Conf. on System Sciences</w:t>
      </w:r>
      <w:r>
        <w:rPr>
          <w:rFonts w:ascii="Times New Roman" w:cs="Times New Roman" w:eastAsia="Times New Roman" w:hAnsi="Times New Roman"/>
          <w:sz w:val="18"/>
          <w:szCs w:val="18"/>
        </w:rPr>
        <w:t xml:space="preserve">, 2011.</w:t>
      </w:r>
    </w:p>
    <w:p>
      <w:pPr>
        <w:spacing w:after="60"/>
        <w:ind w:left="360" w:hanging="360"/>
        <w:jc w:val="both"/>
      </w:pPr>
      <w:r>
        <w:rPr>
          <w:rFonts w:ascii="Times New Roman" w:cs="Times New Roman" w:eastAsia="Times New Roman" w:hAnsi="Times New Roman"/>
          <w:sz w:val="18"/>
          <w:szCs w:val="18"/>
        </w:rPr>
        <w:t xml:space="preserve">[9] </w:t>
      </w:r>
      <w:r>
        <w:rPr>
          <w:rFonts w:ascii="Times New Roman" w:cs="Times New Roman" w:eastAsia="Times New Roman" w:hAnsi="Times New Roman"/>
          <w:sz w:val="18"/>
          <w:szCs w:val="18"/>
        </w:rPr>
        <w:t xml:space="preserve">Gartner, “Magic quadrant for cloud ERP for service-centric enterprises,” Industry Report, 2023.</w:t>
      </w:r>
    </w:p>
    <w:p>
      <w:pPr>
        <w:spacing w:after="60"/>
        <w:ind w:left="360" w:hanging="360"/>
        <w:jc w:val="both"/>
      </w:pPr>
      <w:r>
        <w:rPr>
          <w:rFonts w:ascii="Times New Roman" w:cs="Times New Roman" w:eastAsia="Times New Roman" w:hAnsi="Times New Roman"/>
          <w:sz w:val="18"/>
          <w:szCs w:val="18"/>
        </w:rPr>
        <w:t xml:space="preserve">[10] </w:t>
      </w:r>
      <w:r>
        <w:rPr>
          <w:rFonts w:ascii="Times New Roman" w:cs="Times New Roman" w:eastAsia="Times New Roman" w:hAnsi="Times New Roman"/>
          <w:sz w:val="18"/>
          <w:szCs w:val="18"/>
        </w:rPr>
        <w:t xml:space="preserve">IDC, “Worldwide embedded AI in enterprise applications forecast,” Industry Report, 2024.</w:t>
      </w:r>
    </w:p>
    <w:p>
      <w:pPr>
        <w:spacing w:after="60"/>
        <w:ind w:left="360" w:hanging="360"/>
        <w:jc w:val="both"/>
      </w:pPr>
      <w:r>
        <w:rPr>
          <w:rFonts w:ascii="Times New Roman" w:cs="Times New Roman" w:eastAsia="Times New Roman" w:hAnsi="Times New Roman"/>
          <w:sz w:val="18"/>
          <w:szCs w:val="18"/>
        </w:rPr>
        <w:t xml:space="preserve">[11] </w:t>
      </w:r>
      <w:r>
        <w:rPr>
          <w:rFonts w:ascii="Times New Roman" w:cs="Times New Roman" w:eastAsia="Times New Roman" w:hAnsi="Times New Roman"/>
          <w:sz w:val="18"/>
          <w:szCs w:val="18"/>
        </w:rPr>
        <w:t xml:space="preserve">M. Mitchell, S. Wu, A. Zaldivar, P. Barnes, L. Vasserman, B. Hutchinson, E. Spitzer, I. D. Raji, and T. Gebru, “Model cards for model reporting,” in </w:t>
      </w:r>
      <w:r>
        <w:rPr>
          <w:rFonts w:ascii="Times New Roman" w:cs="Times New Roman" w:eastAsia="Times New Roman" w:hAnsi="Times New Roman"/>
          <w:i/>
          <w:iCs/>
          <w:sz w:val="18"/>
          <w:szCs w:val="18"/>
        </w:rPr>
        <w:t xml:space="preserve">Proc. of the Conference on Fairness, Accountability, and Transparency</w:t>
      </w:r>
      <w:r>
        <w:rPr>
          <w:rFonts w:ascii="Times New Roman" w:cs="Times New Roman" w:eastAsia="Times New Roman" w:hAnsi="Times New Roman"/>
          <w:sz w:val="18"/>
          <w:szCs w:val="18"/>
        </w:rPr>
        <w:t xml:space="preserve">, 2019, pp. 220–229.</w:t>
      </w:r>
    </w:p>
    <w:p>
      <w:pPr>
        <w:spacing w:after="60"/>
        <w:ind w:left="360" w:hanging="360"/>
        <w:jc w:val="both"/>
      </w:pPr>
      <w:r>
        <w:rPr>
          <w:rFonts w:ascii="Times New Roman" w:cs="Times New Roman" w:eastAsia="Times New Roman" w:hAnsi="Times New Roman"/>
          <w:sz w:val="18"/>
          <w:szCs w:val="18"/>
        </w:rPr>
        <w:t xml:space="preserve">[12] </w:t>
      </w:r>
      <w:r>
        <w:rPr>
          <w:rFonts w:ascii="Times New Roman" w:cs="Times New Roman" w:eastAsia="Times New Roman" w:hAnsi="Times New Roman"/>
          <w:sz w:val="18"/>
          <w:szCs w:val="18"/>
        </w:rPr>
        <w:t xml:space="preserve">T. Gebru, J. Morgenstern, B. Vecchione, J. W. Vaughan, H. Wallach, H. Daumé III, and K. Crawford, “Datasheets for datasets,” </w:t>
      </w:r>
      <w:r>
        <w:rPr>
          <w:rFonts w:ascii="Times New Roman" w:cs="Times New Roman" w:eastAsia="Times New Roman" w:hAnsi="Times New Roman"/>
          <w:i/>
          <w:iCs/>
          <w:sz w:val="18"/>
          <w:szCs w:val="18"/>
        </w:rPr>
        <w:t xml:space="preserve">Communications of the ACM</w:t>
      </w:r>
      <w:r>
        <w:rPr>
          <w:rFonts w:ascii="Times New Roman" w:cs="Times New Roman" w:eastAsia="Times New Roman" w:hAnsi="Times New Roman"/>
          <w:sz w:val="18"/>
          <w:szCs w:val="18"/>
        </w:rPr>
        <w:t xml:space="preserve">, vol. 64, no. 12, pp. 86–92, 2021.</w:t>
      </w:r>
    </w:p>
    <w:p>
      <w:pPr>
        <w:spacing w:after="60"/>
        <w:ind w:left="360" w:hanging="360"/>
        <w:jc w:val="both"/>
      </w:pPr>
      <w:r>
        <w:rPr>
          <w:rFonts w:ascii="Times New Roman" w:cs="Times New Roman" w:eastAsia="Times New Roman" w:hAnsi="Times New Roman"/>
          <w:sz w:val="18"/>
          <w:szCs w:val="18"/>
        </w:rPr>
        <w:t xml:space="preserve">[13] </w:t>
      </w:r>
      <w:r>
        <w:rPr>
          <w:rFonts w:ascii="Times New Roman" w:cs="Times New Roman" w:eastAsia="Times New Roman" w:hAnsi="Times New Roman"/>
          <w:sz w:val="18"/>
          <w:szCs w:val="18"/>
        </w:rPr>
        <w:t xml:space="preserve">European Commission, “Regulation of the European Parliament and of the Council laying down harmonised rules on artificial intelligence (AI Act),” Official Journal of the European Union, 2024.</w:t>
      </w:r>
    </w:p>
    <w:sectPr>
      <w:type w:val="continuous"/>
      <w:pgSz w:w="12240" w:h="15840" w:orient="portrait"/>
      <w:pgMar w:top="1080" w:right="1080" w:bottom="1440" w:left="108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300"/>
      </w:pPr>
    </w:lvl>
  </w:abstractNum>
  <w:abstractNum w:abstractNumId="3" w15:restartNumberingAfterBreak="0">
    <w:multiLevelType w:val="hybridMultilevel"/>
    <w:lvl w:ilvl="0" w15:tentative="1">
      <w:start w:val="1"/>
      <w:numFmt w:val="bullet"/>
      <w:lvlText w:val="•"/>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20"/>
      <w:outlineLvl w:val="0"/>
    </w:pPr>
    <w:rPr>
      <w:rFonts w:ascii="Times New Roman" w:cs="Times New Roman" w:eastAsia="Times New Roman" w:hAnsi="Times New Roman"/>
      <w:b w:val="false"/>
      <w:bCs w:val="false"/>
      <w:smallCaps/>
      <w:color w:val="000000"/>
      <w:sz w:val="20"/>
      <w:szCs w:val="20"/>
    </w:rPr>
  </w:style>
  <w:style w:type="paragraph" w:styleId="Heading2">
    <w:name w:val="Heading 2"/>
    <w:basedOn w:val="Normal"/>
    <w:next w:val="Normal"/>
    <w:qFormat/>
    <w:pPr>
      <w:spacing w:after="100" w:before="180"/>
      <w:outlineLvl w:val="1"/>
    </w:pPr>
    <w:rPr>
      <w:rFonts w:ascii="Times New Roman" w:cs="Times New Roman" w:eastAsia="Times New Roman" w:hAnsi="Times New Roman"/>
      <w:b w:val="false"/>
      <w:bCs w:val="false"/>
      <w:i/>
      <w:i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5aae4b62fcf40798a7c671c8403122149ad8a12.png"/><Relationship Id="rId8" Type="http://schemas.openxmlformats.org/officeDocument/2006/relationships/image" Target="media/bd5a606431639ab5376d3f2d996012a9e876ecf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Hallucinated Explanations in Multi-Tenant ERP Cold-Start Regimes</dc:title>
  <dc:creator>Ahmed Ameen Hassan Alkuraimi</dc:creator>
  <cp:lastModifiedBy>Un-named</cp:lastModifiedBy>
  <cp:revision>1</cp:revision>
  <dcterms:created xsi:type="dcterms:W3CDTF">2026-06-12T04:41:37.075Z</dcterms:created>
  <dcterms:modified xsi:type="dcterms:W3CDTF">2026-06-12T04:41:37.076Z</dcterms:modified>
</cp:coreProperties>
</file>

<file path=docProps/custom.xml><?xml version="1.0" encoding="utf-8"?>
<Properties xmlns="http://schemas.openxmlformats.org/officeDocument/2006/custom-properties" xmlns:vt="http://schemas.openxmlformats.org/officeDocument/2006/docPropsVTypes"/>
</file>