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6E6E"/>
          <w:sz w:val="15"/>
          <w:szCs w:val="15"/>
        </w:rPr>
        <w:t xml:space="preserve">PROJECT PROGRESS SUMMARY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GxP Training Bot</w:t>
      </w:r>
    </w:p>
    <w:p>
      <w:pPr>
        <w:pBdr>
          <w:bottom w:val="single" w:color="1F3B4D" w:sz="8" w:space="4"/>
        </w:pBdr>
        <w:spacing w:after="6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AI-Assisted Adaptive Training and Assessment Platform for Pharmaceutical SOPs</w:t>
      </w:r>
    </w:p>
    <w:p>
      <w:pPr>
        <w:spacing w:after="70"/>
      </w:pPr>
      <w:r>
        <w:rPr>
          <w:rFonts w:ascii="Calibri" w:cs="Calibri" w:eastAsia="Calibri" w:hAnsi="Calibri"/>
          <w:color w:val="595959"/>
          <w:sz w:val="14"/>
          <w:szCs w:val="14"/>
        </w:rPr>
        <w:t xml:space="preserve">Student: ____________________     Roll No.: ____________     Guide: ____________________     Period: 13 Jul – 14 Aug 2026</w:t>
      </w:r>
    </w:p>
    <w:p>
      <w:pPr>
        <w:pBdr>
          <w:bottom w:val="single" w:color="0E6E6E" w:sz="4" w:space="3"/>
        </w:pBdr>
        <w:spacing w:after="50" w:before="105"/>
      </w:pPr>
      <w:r>
        <w:rPr>
          <w:rFonts w:ascii="Calibri" w:cs="Calibri" w:eastAsia="Calibri" w:hAnsi="Calibri"/>
          <w:b/>
          <w:bCs/>
          <w:color w:val="0E6E6E"/>
          <w:sz w:val="18"/>
          <w:szCs w:val="18"/>
        </w:rPr>
        <w:t xml:space="preserve">PROJECT IN ONE PARAGRAPH</w:t>
      </w:r>
    </w:p>
    <w:p>
      <w:pPr>
        <w:spacing w:after="90" w:before="0" w:line="225"/>
        <w:jc w:val="both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The platform converts controlled pharmaceutical SOPs into SME-approved assessments and uses each learner's section-level performance to determine subsequent training content. A large language model drafts questions from one SOP section at a time; every draft requires SME approval under an electronic signature bound to a hash of the approved content. Because each question retains a reference to its source section, every response is evidence about a specific passage, so retraining targets measured weakness instead of repeating the whole procedure.</w:t>
      </w:r>
    </w:p>
    <w:p>
      <w:pPr>
        <w:pBdr>
          <w:bottom w:val="single" w:color="0E6E6E" w:sz="4" w:space="3"/>
        </w:pBdr>
        <w:spacing w:after="50" w:before="105"/>
      </w:pPr>
      <w:r>
        <w:rPr>
          <w:rFonts w:ascii="Calibri" w:cs="Calibri" w:eastAsia="Calibri" w:hAnsi="Calibri"/>
          <w:b/>
          <w:bCs/>
          <w:color w:val="0E6E6E"/>
          <w:sz w:val="18"/>
          <w:szCs w:val="18"/>
        </w:rPr>
        <w:t xml:space="preserve">VERIFIED STATUS</w:t>
      </w:r>
    </w:p>
    <w:tbl>
      <w:tblPr>
        <w:tblW w:type="dxa" w:w="9740"/>
        <w:tblBorders>
          <w:top w:val="single" w:color="B8C4C8" w:sz="2"/>
          <w:left w:val="single" w:color="B8C4C8" w:sz="2"/>
          <w:bottom w:val="single" w:color="B8C4C8" w:sz="2"/>
          <w:right w:val="single" w:color="B8C4C8" w:sz="2"/>
          <w:insideH w:val="single" w:color="DCE4E6" w:sz="2"/>
          <w:insideV w:val="single" w:color="DCE4E6" w:sz="2"/>
        </w:tblBorders>
      </w:tblPr>
      <w:tblGrid>
        <w:gridCol w:w="2150"/>
        <w:gridCol w:w="2720"/>
        <w:gridCol w:w="2150"/>
        <w:gridCol w:w="2720"/>
      </w:tblGrid>
      <w:tr>
        <w:tc>
          <w:tcPr>
            <w:tcW w:type="dxa" w:w="215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Verification</w:t>
            </w:r>
          </w:p>
        </w:tc>
        <w:tc>
          <w:tcPr>
            <w:tcW w:type="dxa" w:w="272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215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Verification</w:t>
            </w:r>
          </w:p>
        </w:tc>
        <w:tc>
          <w:tcPr>
            <w:tcW w:type="dxa" w:w="272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Backend test suite</w:t>
            </w:r>
          </w:p>
        </w:tc>
        <w:tc>
          <w:tcPr>
            <w:tcW w:type="dxa" w:w="272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221 passing, 0 failures, 0 skipped</w:t>
            </w:r>
          </w:p>
        </w:tc>
        <w:tc>
          <w:tcPr>
            <w:tcW w:type="dxa" w:w="215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Frontend static analysis</w:t>
            </w:r>
          </w:p>
        </w:tc>
        <w:tc>
          <w:tcPr>
            <w:tcW w:type="dxa" w:w="272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0 errors, 0 warnings</w:t>
            </w:r>
          </w:p>
        </w:tc>
      </w:tr>
      <w:tr>
        <w:tc>
          <w:tcPr>
            <w:tcW w:type="dxa" w:w="215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Migration check</w:t>
            </w:r>
          </w:p>
        </w:tc>
        <w:tc>
          <w:tcPr>
            <w:tcW w:type="dxa" w:w="272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No outstanding changes</w:t>
            </w:r>
          </w:p>
        </w:tc>
        <w:tc>
          <w:tcPr>
            <w:tcW w:type="dxa" w:w="215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Frontend build</w:t>
            </w:r>
          </w:p>
        </w:tc>
        <w:tc>
          <w:tcPr>
            <w:tcW w:type="dxa" w:w="272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Successful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Deployment check</w:t>
            </w:r>
          </w:p>
        </w:tc>
        <w:tc>
          <w:tcPr>
            <w:tcW w:type="dxa" w:w="272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No issues identified</w:t>
            </w:r>
          </w:p>
        </w:tc>
        <w:tc>
          <w:tcPr>
            <w:tcW w:type="dxa" w:w="215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End-to-end workflow</w:t>
            </w:r>
          </w:p>
        </w:tc>
        <w:tc>
          <w:tcPr>
            <w:tcW w:type="dxa" w:w="272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Verified on live NVIDIA NIM</w:t>
            </w:r>
          </w:p>
        </w:tc>
      </w:tr>
      <w:tr>
        <w:tc>
          <w:tcPr>
            <w:tcW w:type="dxa" w:w="215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Functional requirements</w:t>
            </w:r>
          </w:p>
        </w:tc>
        <w:tc>
          <w:tcPr>
            <w:tcW w:type="dxa" w:w="272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80 of 84 implemented (95.2%)</w:t>
            </w:r>
          </w:p>
        </w:tc>
        <w:tc>
          <w:tcPr>
            <w:tcW w:type="dxa" w:w="215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Development period</w:t>
            </w:r>
          </w:p>
        </w:tc>
        <w:tc>
          <w:tcPr>
            <w:tcW w:type="dxa" w:w="272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11 commits, 13 Jul – 14 Aug 2026</w:t>
            </w:r>
          </w:p>
        </w:tc>
      </w:tr>
    </w:tbl>
    <w:p>
      <w:pPr>
        <w:pBdr>
          <w:bottom w:val="single" w:color="0E6E6E" w:sz="4" w:space="3"/>
        </w:pBdr>
        <w:spacing w:after="50" w:before="105"/>
      </w:pPr>
      <w:r>
        <w:rPr>
          <w:rFonts w:ascii="Calibri" w:cs="Calibri" w:eastAsia="Calibri" w:hAnsi="Calibri"/>
          <w:b/>
          <w:bCs/>
          <w:color w:val="0E6E6E"/>
          <w:sz w:val="18"/>
          <w:szCs w:val="18"/>
        </w:rPr>
        <w:t xml:space="preserve">VERIFIED CONTROLLED DEMONSTRATION RESULT</w:t>
      </w:r>
    </w:p>
    <w:tbl>
      <w:tblPr>
        <w:tblW w:type="dxa" w:w="9740"/>
        <w:tblBorders>
          <w:top w:val="single" w:color="B8C4C8" w:sz="2"/>
          <w:left w:val="single" w:color="B8C4C8" w:sz="2"/>
          <w:bottom w:val="single" w:color="B8C4C8" w:sz="2"/>
          <w:right w:val="single" w:color="B8C4C8" w:sz="2"/>
          <w:insideH w:val="single" w:color="DCE4E6" w:sz="2"/>
          <w:insideV w:val="single" w:color="DCE4E6" w:sz="2"/>
        </w:tblBorders>
      </w:tblPr>
      <w:tblGrid>
        <w:gridCol w:w="4200"/>
        <w:gridCol w:w="5540"/>
      </w:tblGrid>
      <w:tr>
        <w:tc>
          <w:tcPr>
            <w:tcW w:type="dxa" w:w="420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Measure</w:t>
            </w:r>
          </w:p>
        </w:tc>
        <w:tc>
          <w:tcPr>
            <w:tcW w:type="dxa" w:w="554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Questions generated (3 sections × 3)</w:t>
            </w:r>
          </w:p>
        </w:tc>
        <w:tc>
          <w:tcPr>
            <w:tcW w:type="dxa" w:w="554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dxa" w:w="42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First-attempt score</w:t>
            </w:r>
          </w:p>
        </w:tc>
        <w:tc>
          <w:tcPr>
            <w:tcW w:type="dxa" w:w="554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33.33% (3 of 9)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Questions selected for retraining</w:t>
            </w:r>
          </w:p>
        </w:tc>
        <w:tc>
          <w:tcPr>
            <w:tcW w:type="dxa" w:w="554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6 of 9 — the section already mastered was excluded</w:t>
            </w:r>
          </w:p>
        </w:tc>
      </w:tr>
      <w:tr>
        <w:tc>
          <w:tcPr>
            <w:tcW w:type="dxa" w:w="42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Learning gain, both weak sections</w:t>
            </w:r>
          </w:p>
        </w:tc>
        <w:tc>
          <w:tcPr>
            <w:tcW w:type="dxa" w:w="554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50% → 100%  (+50 percentage points)</w:t>
            </w:r>
          </w:p>
        </w:tc>
      </w:tr>
    </w:tbl>
    <w:p>
      <w:pPr>
        <w:spacing w:after="90" w:before="60"/>
      </w:pPr>
      <w:r>
        <w:rPr>
          <w:rFonts w:ascii="Times New Roman" w:cs="Times New Roman" w:eastAsia="Times New Roman" w:hAnsi="Times New Roman"/>
          <w:i/>
          <w:iCs/>
          <w:color w:val="A8452C"/>
          <w:sz w:val="16"/>
          <w:szCs w:val="16"/>
        </w:rPr>
        <w:t xml:space="preserve">After retraining the recency-weighted score was 87.9% against a lifetime accuracy of 75.0%, the weighting registering the improvement. This is a controlled demonstration result, not a statistical user study; no claim of population-level effectiveness or statistical significance is made.</w:t>
      </w:r>
    </w:p>
    <w:p>
      <w:pPr>
        <w:pBdr>
          <w:bottom w:val="single" w:color="0E6E6E" w:sz="4" w:space="3"/>
        </w:pBdr>
        <w:spacing w:after="50" w:before="105"/>
      </w:pPr>
      <w:r>
        <w:rPr>
          <w:rFonts w:ascii="Calibri" w:cs="Calibri" w:eastAsia="Calibri" w:hAnsi="Calibri"/>
          <w:b/>
          <w:bCs/>
          <w:color w:val="0E6E6E"/>
          <w:sz w:val="18"/>
          <w:szCs w:val="18"/>
        </w:rPr>
        <w:t xml:space="preserve">ADAPTIVE ENGINE — CLASSIFICATION</w:t>
      </w:r>
    </w:p>
    <w:tbl>
      <w:tblPr>
        <w:tblW w:type="dxa" w:w="9740"/>
        <w:tblBorders>
          <w:top w:val="single" w:color="B8C4C8" w:sz="2"/>
          <w:left w:val="single" w:color="B8C4C8" w:sz="2"/>
          <w:bottom w:val="single" w:color="B8C4C8" w:sz="2"/>
          <w:right w:val="single" w:color="B8C4C8" w:sz="2"/>
          <w:insideH w:val="single" w:color="DCE4E6" w:sz="2"/>
          <w:insideV w:val="single" w:color="DCE4E6" w:sz="2"/>
        </w:tblBorders>
      </w:tblPr>
      <w:tblGrid>
        <w:gridCol w:w="1900"/>
        <w:gridCol w:w="5040"/>
        <w:gridCol w:w="2800"/>
      </w:tblGrid>
      <w:tr>
        <w:tc>
          <w:tcPr>
            <w:tcW w:type="dxa" w:w="190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504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Mechanism</w:t>
            </w:r>
          </w:p>
        </w:tc>
        <w:tc>
          <w:tcPr>
            <w:tcW w:type="dxa" w:w="280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Learns from learner data?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1 — Adaptive priority</w:t>
            </w:r>
          </w:p>
        </w:tc>
        <w:tc>
          <w:tcPr>
            <w:tcW w:type="dxa" w:w="504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Rule-based: thresholds 60/80%, minimum evidence 3, mastery streak 3</w:t>
            </w:r>
          </w:p>
        </w:tc>
        <w:tc>
          <w:tcPr>
            <w:tcW w:type="dxa" w:w="28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No — values chosen, not fitted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2 — Performance signal</w:t>
            </w:r>
          </w:p>
        </w:tc>
        <w:tc>
          <w:tcPr>
            <w:tcW w:type="dxa" w:w="504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Statistical: recency-weighted accuracy, half-life 5 responses</w:t>
            </w:r>
          </w:p>
        </w:tc>
        <w:tc>
          <w:tcPr>
            <w:tcW w:type="dxa" w:w="28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Yes — computed from responses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3 — Elo</w:t>
            </w:r>
          </w:p>
        </w:tc>
        <w:tc>
          <w:tcPr>
            <w:tcW w:type="dxa" w:w="504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Online estimation of learner ability and item difficulty (K = 32 / 16)</w:t>
            </w:r>
          </w:p>
        </w:tc>
        <w:tc>
          <w:tcPr>
            <w:tcW w:type="dxa" w:w="28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4 — FSRS</w:t>
            </w:r>
          </w:p>
        </w:tc>
        <w:tc>
          <w:tcPr>
            <w:tcW w:type="dxa" w:w="504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DSR memory model governing review timing</w:t>
            </w:r>
          </w:p>
        </w:tc>
        <w:tc>
          <w:tcPr>
            <w:tcW w:type="dxa" w:w="28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Yes (state); weights are fixed defaults</w:t>
            </w:r>
          </w:p>
        </w:tc>
      </w:tr>
    </w:tbl>
    <w:p>
      <w:pPr>
        <w:spacing w:after="9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18"/>
          <w:szCs w:val="18"/>
        </w:rPr>
        <w:t xml:space="preserve">Hybrid adaptive system. </w:t>
      </w: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The large language model does not determine adaptive priority; the adaptive engine is not a trained neural network. The system is adaptive because measured performance changes future content selection.</w:t>
      </w:r>
    </w:p>
    <w:p>
      <w:pPr>
        <w:pBdr>
          <w:bottom w:val="single" w:color="0E6E6E" w:sz="4" w:space="3"/>
        </w:pBdr>
        <w:spacing w:after="50" w:before="105"/>
      </w:pPr>
      <w:r>
        <w:rPr>
          <w:rFonts w:ascii="Calibri" w:cs="Calibri" w:eastAsia="Calibri" w:hAnsi="Calibri"/>
          <w:b/>
          <w:bCs/>
          <w:color w:val="0E6E6E"/>
          <w:sz w:val="18"/>
          <w:szCs w:val="18"/>
        </w:rPr>
        <w:t xml:space="preserve">PROGRESS BY PHASE</w:t>
      </w:r>
    </w:p>
    <w:tbl>
      <w:tblPr>
        <w:tblW w:type="dxa" w:w="9740"/>
        <w:tblBorders>
          <w:top w:val="single" w:color="B8C4C8" w:sz="2"/>
          <w:left w:val="single" w:color="B8C4C8" w:sz="2"/>
          <w:bottom w:val="single" w:color="B8C4C8" w:sz="2"/>
          <w:right w:val="single" w:color="B8C4C8" w:sz="2"/>
          <w:insideH w:val="single" w:color="DCE4E6" w:sz="2"/>
          <w:insideV w:val="single" w:color="DCE4E6" w:sz="2"/>
        </w:tblBorders>
      </w:tblPr>
      <w:tblGrid>
        <w:gridCol w:w="1250"/>
        <w:gridCol w:w="3620"/>
        <w:gridCol w:w="1250"/>
        <w:gridCol w:w="3620"/>
      </w:tblGrid>
      <w:tr>
        <w:tc>
          <w:tcPr>
            <w:tcW w:type="dxa" w:w="125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62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Milestone</w:t>
            </w:r>
          </w:p>
        </w:tc>
        <w:tc>
          <w:tcPr>
            <w:tcW w:type="dxa" w:w="125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62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Milestone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1 (13 Jul)</w:t>
            </w:r>
          </w:p>
        </w:tc>
        <w:tc>
          <w:tcPr>
            <w:tcW w:type="dxa" w:w="362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Requirements, architecture, core platform</w:t>
            </w:r>
          </w:p>
        </w:tc>
        <w:tc>
          <w:tcPr>
            <w:tcW w:type="dxa" w:w="125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6 (4 Aug)</w:t>
            </w:r>
          </w:p>
        </w:tc>
        <w:tc>
          <w:tcPr>
            <w:tcW w:type="dxa" w:w="362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Section-level mastery introduced</w:t>
            </w:r>
          </w:p>
        </w:tc>
      </w:tr>
      <w:tr>
        <w:tc>
          <w:tcPr>
            <w:tcW w:type="dxa" w:w="125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2–3 (21 Jul)</w:t>
            </w:r>
          </w:p>
        </w:tc>
        <w:tc>
          <w:tcPr>
            <w:tcW w:type="dxa" w:w="362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SME workflow, e-signature, first adaptive retraining</w:t>
            </w:r>
          </w:p>
        </w:tc>
        <w:tc>
          <w:tcPr>
            <w:tcW w:type="dxa" w:w="125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7 (9–14 Aug)</w:t>
            </w:r>
          </w:p>
        </w:tc>
        <w:tc>
          <w:tcPr>
            <w:tcW w:type="dxa" w:w="362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Requirements audit; 84 requirements traced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4 (21 Jul)</w:t>
            </w:r>
          </w:p>
        </w:tc>
        <w:tc>
          <w:tcPr>
            <w:tcW w:type="dxa" w:w="362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Retrieval-augmented SOP chatbot</w:t>
            </w:r>
          </w:p>
        </w:tc>
        <w:tc>
          <w:tcPr>
            <w:tcW w:type="dxa" w:w="125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8 (14 Aug)</w:t>
            </w:r>
          </w:p>
        </w:tc>
        <w:tc>
          <w:tcPr>
            <w:tcW w:type="dxa" w:w="362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Recency weighting, evidence gate, hardening</w:t>
            </w:r>
          </w:p>
        </w:tc>
      </w:tr>
      <w:tr>
        <w:tc>
          <w:tcPr>
            <w:tcW w:type="dxa" w:w="125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5 (26 Jul)</w:t>
            </w:r>
          </w:p>
        </w:tc>
        <w:tc>
          <w:tcPr>
            <w:tcW w:type="dxa" w:w="362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Elo estimation; FSRS replaces fixed intervals</w:t>
            </w:r>
          </w:p>
        </w:tc>
        <w:tc>
          <w:tcPr>
            <w:tcW w:type="dxa" w:w="125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9–10 (14 Aug)</w:t>
            </w:r>
          </w:p>
        </w:tc>
        <w:tc>
          <w:tcPr>
            <w:tcW w:type="dxa" w:w="362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Adversarial verification; end-to-end validation</w:t>
            </w:r>
          </w:p>
        </w:tc>
      </w:tr>
    </w:tbl>
    <w:p>
      <w:pPr>
        <w:pBdr>
          <w:bottom w:val="single" w:color="0E6E6E" w:sz="4" w:space="3"/>
        </w:pBdr>
        <w:spacing w:after="50" w:before="105"/>
      </w:pPr>
      <w:r>
        <w:rPr>
          <w:rFonts w:ascii="Calibri" w:cs="Calibri" w:eastAsia="Calibri" w:hAnsi="Calibri"/>
          <w:b/>
          <w:bCs/>
          <w:color w:val="0E6E6E"/>
          <w:sz w:val="18"/>
          <w:szCs w:val="18"/>
        </w:rPr>
        <w:t xml:space="preserve">KEY DEFECTS FOUND AND CORRECTED</w:t>
      </w:r>
    </w:p>
    <w:p>
      <w:pPr>
        <w:pStyle w:val="ListParagraph"/>
        <w:numPr>
          <w:ilvl w:val="0"/>
          <w:numId w:val="2"/>
        </w:numPr>
        <w:spacing w:after="22" w:line="218"/>
        <w:jc w:val="both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Correctly answered sections were still retrained, and never-assessed sections were invisible to selection — selection reimplemented on observed accuracy, with never-assessed made an explicit HIGH state.</w:t>
      </w:r>
    </w:p>
    <w:p>
      <w:pPr>
        <w:pStyle w:val="ListParagraph"/>
        <w:numPr>
          <w:ilvl w:val="0"/>
          <w:numId w:val="2"/>
        </w:numPr>
        <w:spacing w:after="22" w:line="218"/>
        <w:jc w:val="both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Whole-document mastery concealed weak sections — resolved by introducing section-level mastery.</w:t>
      </w:r>
    </w:p>
    <w:p>
      <w:pPr>
        <w:pStyle w:val="ListParagraph"/>
        <w:numPr>
          <w:ilvl w:val="0"/>
          <w:numId w:val="2"/>
        </w:numPr>
        <w:spacing w:after="22" w:line="218"/>
        <w:jc w:val="both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The answer key was returned to learners, a completed attempt could be resubmitted, and approved content could be modified through the API — role-selected serialisers, an atomic claim returning HTTP 409, and HTTP 403 with content-hash verification.</w:t>
      </w:r>
    </w:p>
    <w:p>
      <w:pPr>
        <w:pStyle w:val="ListParagraph"/>
        <w:numPr>
          <w:ilvl w:val="0"/>
          <w:numId w:val="2"/>
        </w:numPr>
        <w:spacing w:after="22" w:line="218"/>
        <w:jc w:val="both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Duplicate question identifiers fabricated evidence — rejected with HTTP 400 before any database write.</w:t>
      </w:r>
    </w:p>
    <w:p>
      <w:pPr>
        <w:pBdr>
          <w:bottom w:val="single" w:color="0E6E6E" w:sz="4" w:space="3"/>
        </w:pBdr>
        <w:spacing w:after="50" w:before="105"/>
      </w:pPr>
      <w:r>
        <w:rPr>
          <w:rFonts w:ascii="Calibri" w:cs="Calibri" w:eastAsia="Calibri" w:hAnsi="Calibri"/>
          <w:b/>
          <w:bCs/>
          <w:color w:val="0E6E6E"/>
          <w:sz w:val="18"/>
          <w:szCs w:val="18"/>
        </w:rPr>
        <w:t xml:space="preserve">REMAINING WORK</w:t>
      </w:r>
    </w:p>
    <w:tbl>
      <w:tblPr>
        <w:tblW w:type="dxa" w:w="9740"/>
        <w:tblBorders>
          <w:top w:val="single" w:color="B8C4C8" w:sz="2"/>
          <w:left w:val="single" w:color="B8C4C8" w:sz="2"/>
          <w:bottom w:val="single" w:color="B8C4C8" w:sz="2"/>
          <w:right w:val="single" w:color="B8C4C8" w:sz="2"/>
          <w:insideH w:val="single" w:color="DCE4E6" w:sz="2"/>
          <w:insideV w:val="single" w:color="DCE4E6" w:sz="2"/>
        </w:tblBorders>
      </w:tblPr>
      <w:tblGrid>
        <w:gridCol w:w="900"/>
        <w:gridCol w:w="3400"/>
        <w:gridCol w:w="5440"/>
      </w:tblGrid>
      <w:tr>
        <w:tc>
          <w:tcPr>
            <w:tcW w:type="dxa" w:w="90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tcW w:type="dxa" w:w="340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5440"/>
            <w:shd w:fill="1F3B4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Effect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34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Persist the offered question set per attempt</w:t>
            </w:r>
          </w:p>
        </w:tc>
        <w:tc>
          <w:tcPr>
            <w:tcW w:type="dxa" w:w="544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Makes the adaptive decision enforced rather than advisory; attempts reproducible</w:t>
            </w:r>
          </w:p>
        </w:tc>
      </w:tr>
      <w:tr>
        <w:tc>
          <w:tcPr>
            <w:tcW w:type="dxa" w:w="9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34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SOP version lifecycle</w:t>
            </w:r>
          </w:p>
        </w:tc>
        <w:tc>
          <w:tcPr>
            <w:tcW w:type="dxa" w:w="544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Removes the only gap that can silently destroy learner mastery data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34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Question revision history</w:t>
            </w:r>
          </w:p>
        </w:tc>
        <w:tc>
          <w:tcPr>
            <w:tcW w:type="dxa" w:w="544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Completes content lineage; signature binds to a version</w:t>
            </w:r>
          </w:p>
        </w:tc>
      </w:tr>
      <w:tr>
        <w:tc>
          <w:tcPr>
            <w:tcW w:type="dxa" w:w="9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340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Difficulty-aware adaptive priority</w:t>
            </w:r>
          </w:p>
        </w:tc>
        <w:tc>
          <w:tcPr>
            <w:tcW w:type="dxa" w:w="5440"/>
            <w:shd w:fill="F2F6F7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Removes an inconsistency in how responses are weighted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340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Entailment verification of generated items</w:t>
            </w:r>
          </w:p>
        </w:tc>
        <w:tc>
          <w:tcPr>
            <w:tcW w:type="dxa" w:w="5440"/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Upgrades grounding from provenance to verification</w:t>
            </w:r>
          </w:p>
        </w:tc>
      </w:tr>
    </w:tbl>
    <w:p>
      <w:pPr>
        <w:pBdr>
          <w:bottom w:val="single" w:color="0E6E6E" w:sz="4" w:space="3"/>
        </w:pBdr>
        <w:spacing w:after="50" w:before="105"/>
      </w:pPr>
      <w:r>
        <w:rPr>
          <w:rFonts w:ascii="Calibri" w:cs="Calibri" w:eastAsia="Calibri" w:hAnsi="Calibri"/>
          <w:b/>
          <w:bCs/>
          <w:color w:val="0E6E6E"/>
          <w:sz w:val="18"/>
          <w:szCs w:val="18"/>
        </w:rPr>
        <w:t xml:space="preserve">STATUS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All seven stated objectives are implemented and verified. </w:t>
      </w: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The complete workflow has been verified end to end against the live model provider, and 80 of the 84 specified functional requirements are implemented; the four outstanding items are documented as future scope.</w:t>
      </w:r>
    </w:p>
    <w:sectPr>
      <w:pgSz w:w="11906" w:h="16838" w:orient="portrait"/>
      <w:pgMar w:top="863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GxP Training Bot — Progress Summary</dc:title>
  <dc:creator>GxP Training Bot project</dc:creator>
  <cp:lastModifiedBy>Un-named</cp:lastModifiedBy>
  <cp:revision>1</cp:revision>
  <dcterms:created xsi:type="dcterms:W3CDTF">2026-08-15T03:56:58.765Z</dcterms:created>
  <dcterms:modified xsi:type="dcterms:W3CDTF">2026-08-15T03:56:58.765Z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