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Calibri" w:cs="Calibri" w:eastAsia="Calibri" w:hAnsi="Calibri"/>
          <w:b/>
          <w:bCs/>
          <w:color w:val="1F3B57"/>
          <w:sz w:val="56"/>
          <w:szCs w:val="56"/>
        </w:rPr>
        <w:t xml:space="preserve">SuhasVision V2</w:t>
      </w:r>
    </w:p>
    <w:p>
      <w:pPr>
        <w:spacing w:after="80" w:before="120"/>
        <w:jc w:val="center"/>
      </w:pPr>
      <w:r>
        <w:rPr>
          <w:rFonts w:ascii="Calibri" w:cs="Calibri" w:eastAsia="Calibri" w:hAnsi="Calibri"/>
          <w:color w:val="2E5478"/>
          <w:sz w:val="34"/>
          <w:szCs w:val="34"/>
        </w:rPr>
        <w:t xml:space="preserve">Official Architecture Specification</w:t>
      </w:r>
    </w:p>
    <w:p>
      <w:pPr>
        <w:spacing w:after="60" w:before="200"/>
        <w:jc w:val="center"/>
      </w:pPr>
      <w:r>
        <w:rPr>
          <w:rFonts w:ascii="Calibri" w:cs="Calibri" w:eastAsia="Calibri" w:hAnsi="Calibri"/>
          <w:b/>
          <w:bCs/>
          <w:color w:val="9C1F1F"/>
          <w:sz w:val="24"/>
          <w:szCs w:val="24"/>
        </w:rPr>
        <w:t xml:space="preserve">STATUS: FROZEN — BINDING FOR ALL FUTURE IMPLEMENTATION</w:t>
      </w:r>
    </w:p>
    <w:p>
      <w:pPr>
        <w:spacing w:after="1600" w:before="40"/>
        <w:jc w:val="center"/>
      </w:pPr>
      <w:r>
        <w:rPr>
          <w:rFonts w:ascii="Calibri" w:cs="Calibri" w:eastAsia="Calibri" w:hAnsi="Calibri"/>
          <w:i/>
          <w:iCs/>
          <w:color w:val="595959"/>
          <w:sz w:val="20"/>
          <w:szCs w:val="20"/>
        </w:rPr>
        <w:t xml:space="preserve">No further architecture changes are in scope. Implementation must conform to this document; any deviation requires a new, explicitly-versioned revision of this specification, not an ad hoc change.</w:t>
      </w:r>
    </w:p>
    <w:p>
      <w:pPr>
        <w:spacing w:before="400"/>
        <w:jc w:val="center"/>
      </w:pPr>
      <w:r>
        <w:rPr>
          <w:rFonts w:ascii="Calibri" w:cs="Calibri" w:eastAsia="Calibri" w:hAnsi="Calibri"/>
          <w:color w:val="595959"/>
          <w:sz w:val="20"/>
          <w:szCs w:val="20"/>
        </w:rPr>
        <w:t xml:space="preserve">Version 2.0 · Frozen 2026-07-17</w:t>
      </w:r>
    </w:p>
    <w:p>
      <w:r>
        <w:br w:type="page"/>
      </w:r>
    </w:p>
    <w:p>
      <w:pPr>
        <w:pStyle w:val="Heading1"/>
        <w:spacing w:after="160" w:before="360"/>
      </w:pPr>
      <w:r>
        <w:t xml:space="preserve">Document Control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B57"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6300"/>
            <w:shd w:fill="1F3B57" w:val="clear"/>
            <w:tcMar>
              <w:top w:type="dxa" w:w="80"/>
              <w:left w:type="dxa" w:w="120"/>
              <w:bottom w:type="dxa" w:w="80"/>
              <w:right w:type="dxa" w:w="120"/>
            </w:tcMar>
          </w:tcPr>
          <w:p>
            <w:r>
              <w:rPr>
                <w:rFonts w:ascii="Calibri" w:cs="Calibri" w:eastAsia="Calibri" w:hAnsi="Calibri"/>
                <w:b/>
                <w:bCs/>
                <w:color w:val="FFFFFF"/>
                <w:sz w:val="19"/>
                <w:szCs w:val="19"/>
              </w:rPr>
              <w:t xml:space="preserve">Value</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19"/>
                <w:szCs w:val="19"/>
              </w:rPr>
              <w:t xml:space="preserve">Document title</w:t>
            </w:r>
          </w:p>
        </w:tc>
        <w:tc>
          <w:tcPr>
            <w:tcW w:type="dxa" w:w="6300"/>
            <w:tcMar>
              <w:top w:type="dxa" w:w="80"/>
              <w:left w:type="dxa" w:w="120"/>
              <w:bottom w:type="dxa" w:w="80"/>
              <w:right w:type="dxa" w:w="120"/>
            </w:tcMar>
          </w:tcPr>
          <w:p>
            <w:r>
              <w:rPr>
                <w:rFonts w:ascii="Calibri" w:cs="Calibri" w:eastAsia="Calibri" w:hAnsi="Calibri"/>
                <w:b w:val="false"/>
                <w:bCs w:val="false"/>
                <w:color w:val="000000"/>
                <w:sz w:val="19"/>
                <w:szCs w:val="19"/>
              </w:rPr>
              <w:t xml:space="preserve">SuhasVision V2 — Official Architecture Specification</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19"/>
                <w:szCs w:val="19"/>
              </w:rPr>
              <w:t xml:space="preserve">Version</w:t>
            </w:r>
          </w:p>
        </w:tc>
        <w:tc>
          <w:tcPr>
            <w:tcW w:type="dxa" w:w="6300"/>
            <w:tcMar>
              <w:top w:type="dxa" w:w="80"/>
              <w:left w:type="dxa" w:w="120"/>
              <w:bottom w:type="dxa" w:w="80"/>
              <w:right w:type="dxa" w:w="120"/>
            </w:tcMar>
          </w:tcPr>
          <w:p>
            <w:r>
              <w:rPr>
                <w:rFonts w:ascii="Calibri" w:cs="Calibri" w:eastAsia="Calibri" w:hAnsi="Calibri"/>
                <w:b w:val="false"/>
                <w:bCs w:val="false"/>
                <w:color w:val="000000"/>
                <w:sz w:val="19"/>
                <w:szCs w:val="19"/>
              </w:rPr>
              <w:t xml:space="preserve">2.0 (FROZEN)</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19"/>
                <w:szCs w:val="19"/>
              </w:rPr>
              <w:t xml:space="preserve">Freeze date</w:t>
            </w:r>
          </w:p>
        </w:tc>
        <w:tc>
          <w:tcPr>
            <w:tcW w:type="dxa" w:w="6300"/>
            <w:tcMar>
              <w:top w:type="dxa" w:w="80"/>
              <w:left w:type="dxa" w:w="120"/>
              <w:bottom w:type="dxa" w:w="80"/>
              <w:right w:type="dxa" w:w="120"/>
            </w:tcMar>
          </w:tcPr>
          <w:p>
            <w:r>
              <w:rPr>
                <w:rFonts w:ascii="Calibri" w:cs="Calibri" w:eastAsia="Calibri" w:hAnsi="Calibri"/>
                <w:b w:val="false"/>
                <w:bCs w:val="false"/>
                <w:color w:val="000000"/>
                <w:sz w:val="19"/>
                <w:szCs w:val="19"/>
              </w:rPr>
              <w:t xml:space="preserve">2026-07-17</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19"/>
                <w:szCs w:val="19"/>
              </w:rPr>
              <w:t xml:space="preserve">Supersedes</w:t>
            </w:r>
          </w:p>
        </w:tc>
        <w:tc>
          <w:tcPr>
            <w:tcW w:type="dxa" w:w="6300"/>
            <w:tcMar>
              <w:top w:type="dxa" w:w="80"/>
              <w:left w:type="dxa" w:w="120"/>
              <w:bottom w:type="dxa" w:w="80"/>
              <w:right w:type="dxa" w:w="120"/>
            </w:tcMar>
          </w:tcPr>
          <w:p>
            <w:r>
              <w:rPr>
                <w:rFonts w:ascii="Calibri" w:cs="Calibri" w:eastAsia="Calibri" w:hAnsi="Calibri"/>
                <w:b w:val="false"/>
                <w:bCs w:val="false"/>
                <w:color w:val="000000"/>
                <w:sz w:val="19"/>
                <w:szCs w:val="19"/>
              </w:rPr>
              <w:t xml:space="preserve">The V1 implementation described in the SRS &amp; Technical Analysis document (v1.0) and every architecture reviewed/critiqued in this project's audit history.</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19"/>
                <w:szCs w:val="19"/>
              </w:rPr>
              <w:t xml:space="preserve">Binding scope</w:t>
            </w:r>
          </w:p>
        </w:tc>
        <w:tc>
          <w:tcPr>
            <w:tcW w:type="dxa" w:w="6300"/>
            <w:tcMar>
              <w:top w:type="dxa" w:w="80"/>
              <w:left w:type="dxa" w:w="120"/>
              <w:bottom w:type="dxa" w:w="80"/>
              <w:right w:type="dxa" w:w="120"/>
            </w:tcMar>
          </w:tcPr>
          <w:p>
            <w:r>
              <w:rPr>
                <w:rFonts w:ascii="Calibri" w:cs="Calibri" w:eastAsia="Calibri" w:hAnsi="Calibri"/>
                <w:b w:val="false"/>
                <w:bCs w:val="false"/>
                <w:color w:val="000000"/>
                <w:sz w:val="19"/>
                <w:szCs w:val="19"/>
              </w:rPr>
              <w:t xml:space="preserve">Backend, Frontend, Database, ML, Training Pipeline, Inference Pipeline, Storage, Deployment, Security, Testing, Coding Standards, Folder Structure, API Contracts.</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19"/>
                <w:szCs w:val="19"/>
              </w:rPr>
              <w:t xml:space="preserve">Change control</w:t>
            </w:r>
          </w:p>
        </w:tc>
        <w:tc>
          <w:tcPr>
            <w:tcW w:type="dxa" w:w="6300"/>
            <w:tcMar>
              <w:top w:type="dxa" w:w="80"/>
              <w:left w:type="dxa" w:w="120"/>
              <w:bottom w:type="dxa" w:w="80"/>
              <w:right w:type="dxa" w:w="120"/>
            </w:tcMar>
          </w:tcPr>
          <w:p>
            <w:r>
              <w:rPr>
                <w:rFonts w:ascii="Calibri" w:cs="Calibri" w:eastAsia="Calibri" w:hAnsi="Calibri"/>
                <w:b w:val="false"/>
                <w:bCs w:val="false"/>
                <w:color w:val="000000"/>
                <w:sz w:val="19"/>
                <w:szCs w:val="19"/>
              </w:rPr>
              <w:t xml:space="preserve">This document is frozen. A future change requires a new major/minor version of this specification with an explicit changelog entry — not an undocumented deviation during implementation.</w:t>
            </w:r>
          </w:p>
        </w:tc>
      </w:tr>
    </w:tbl>
    <w:p>
      <w:r>
        <w:br w:type="page"/>
      </w:r>
    </w:p>
    <w:p>
      <w:pPr>
        <w:pStyle w:val="Heading1"/>
        <w:spacing w:after="160" w:before="360"/>
      </w:pPr>
      <w:r>
        <w:t xml:space="preserve">1. Design Principles</w:t>
      </w:r>
    </w:p>
    <w:p>
      <w:pPr>
        <w:spacing w:after="160" w:line="276"/>
      </w:pPr>
      <w:r>
        <w:rPr>
          <w:rFonts w:ascii="Calibri" w:cs="Calibri" w:eastAsia="Calibri" w:hAnsi="Calibri"/>
          <w:sz w:val="22"/>
          <w:szCs w:val="22"/>
        </w:rPr>
        <w:t xml:space="preserve">Every section of this specification is answerable to six governing principles. Where a design decision below appears to trade one off against another, that trade-off is stated explicitly rather than left implicit.</w:t>
      </w:r>
    </w:p>
    <w:p>
      <w:pPr>
        <w:pStyle w:val="ListParagraph"/>
        <w:numPr>
          <w:ilvl w:val="0"/>
          <w:numId w:val="2"/>
        </w:numPr>
        <w:spacing w:after="80" w:line="276"/>
      </w:pPr>
      <w:r>
        <w:rPr>
          <w:rFonts w:ascii="Calibri" w:cs="Calibri" w:eastAsia="Calibri" w:hAnsi="Calibri"/>
          <w:sz w:val="22"/>
          <w:szCs w:val="22"/>
        </w:rPr>
        <w:t xml:space="preserve">Research-worthy — the system must produce measurable, honestly-reported evidence (not just working software), sufficient to support a real applied publication.</w:t>
      </w:r>
    </w:p>
    <w:p>
      <w:pPr>
        <w:pStyle w:val="ListParagraph"/>
        <w:numPr>
          <w:ilvl w:val="0"/>
          <w:numId w:val="2"/>
        </w:numPr>
        <w:spacing w:after="80" w:line="276"/>
      </w:pPr>
      <w:r>
        <w:rPr>
          <w:rFonts w:ascii="Calibri" w:cs="Calibri" w:eastAsia="Calibri" w:hAnsi="Calibri"/>
          <w:sz w:val="22"/>
          <w:szCs w:val="22"/>
        </w:rPr>
        <w:t xml:space="preserve">Production-ready — every component must have a defined operational story (deployment, monitoring, recovery), not just a working demo path.</w:t>
      </w:r>
    </w:p>
    <w:p>
      <w:pPr>
        <w:pStyle w:val="ListParagraph"/>
        <w:numPr>
          <w:ilvl w:val="0"/>
          <w:numId w:val="2"/>
        </w:numPr>
        <w:spacing w:after="80" w:line="276"/>
      </w:pPr>
      <w:r>
        <w:rPr>
          <w:rFonts w:ascii="Calibri" w:cs="Calibri" w:eastAsia="Calibri" w:hAnsi="Calibri"/>
          <w:sz w:val="22"/>
          <w:szCs w:val="22"/>
        </w:rPr>
        <w:t xml:space="preserve">Novel — architectural choices are justified against what already exists in the literature (see the V2 invention record, §15), not adopted by default.</w:t>
      </w:r>
    </w:p>
    <w:p>
      <w:pPr>
        <w:pStyle w:val="ListParagraph"/>
        <w:numPr>
          <w:ilvl w:val="0"/>
          <w:numId w:val="2"/>
        </w:numPr>
        <w:spacing w:after="80" w:line="276"/>
      </w:pPr>
      <w:r>
        <w:rPr>
          <w:rFonts w:ascii="Calibri" w:cs="Calibri" w:eastAsia="Calibri" w:hAnsi="Calibri"/>
          <w:sz w:val="22"/>
          <w:szCs w:val="22"/>
        </w:rPr>
        <w:t xml:space="preserve">Explainable — every score the system produces must be traceable to a specific, named cause a non-technical coach or learner can act on.</w:t>
      </w:r>
    </w:p>
    <w:p>
      <w:pPr>
        <w:pStyle w:val="ListParagraph"/>
        <w:numPr>
          <w:ilvl w:val="0"/>
          <w:numId w:val="2"/>
        </w:numPr>
        <w:spacing w:after="80" w:line="276"/>
      </w:pPr>
      <w:r>
        <w:rPr>
          <w:rFonts w:ascii="Calibri" w:cs="Calibri" w:eastAsia="Calibri" w:hAnsi="Calibri"/>
          <w:sz w:val="22"/>
          <w:szCs w:val="22"/>
        </w:rPr>
        <w:t xml:space="preserve">Fast — inference must never block the requesting user for longer than it takes to acknowledge the request; heavy computation is asynchronous by design, not by later optimization.</w:t>
      </w:r>
    </w:p>
    <w:p>
      <w:pPr>
        <w:pStyle w:val="ListParagraph"/>
        <w:numPr>
          <w:ilvl w:val="0"/>
          <w:numId w:val="2"/>
        </w:numPr>
        <w:spacing w:after="80" w:line="276"/>
      </w:pPr>
      <w:r>
        <w:rPr>
          <w:rFonts w:ascii="Calibri" w:cs="Calibri" w:eastAsia="Calibri" w:hAnsi="Calibri"/>
          <w:sz w:val="22"/>
          <w:szCs w:val="22"/>
        </w:rPr>
        <w:t xml:space="preserve">Privacy-preserving — no uploaded video persists beyond the minimum time required to process it, and that guarantee is enforced by infrastructure, not by application code alone.</w:t>
      </w:r>
    </w:p>
    <w:p>
      <w:pPr>
        <w:pStyle w:val="Heading1"/>
        <w:spacing w:after="160" w:before="360"/>
      </w:pPr>
      <w:r>
        <w:t xml:space="preserve">2. Backend</w:t>
      </w:r>
    </w:p>
    <w:p>
      <w:pPr>
        <w:spacing w:after="160" w:line="276"/>
      </w:pPr>
      <w:r>
        <w:rPr>
          <w:rFonts w:ascii="Calibri" w:cs="Calibri" w:eastAsia="Calibri" w:hAnsi="Calibri"/>
          <w:sz w:val="22"/>
          <w:szCs w:val="22"/>
        </w:rPr>
        <w:t xml:space="preserve">Django REST Framework remains the backend framework. The following are now mandatory, closing every gap identified in the V1 audit:</w:t>
      </w:r>
    </w:p>
    <w:p>
      <w:pPr>
        <w:pStyle w:val="Heading2"/>
        <w:spacing w:after="120" w:before="280"/>
      </w:pPr>
      <w:r>
        <w:t xml:space="preserve">2.1 Authentication &amp; Authorization</w:t>
      </w:r>
    </w:p>
    <w:p>
      <w:pPr>
        <w:pStyle w:val="ListParagraph"/>
        <w:numPr>
          <w:ilvl w:val="0"/>
          <w:numId w:val="2"/>
        </w:numPr>
        <w:spacing w:after="80" w:line="276"/>
      </w:pPr>
      <w:r>
        <w:rPr>
          <w:rFonts w:ascii="Calibri" w:cs="Calibri" w:eastAsia="Calibri" w:hAnsi="Calibri"/>
          <w:sz w:val="22"/>
          <w:szCs w:val="22"/>
        </w:rPr>
        <w:t xml:space="preserve">JWT via SimpleJWT, with an explicit SIMPLE_JWT configuration: short-lived access tokens, rotating refresh tokens, and refresh-token blacklisting enabled (rest_framework_simplejwt.token_blacklist installed and migrated).</w:t>
      </w:r>
    </w:p>
    <w:p>
      <w:pPr>
        <w:pStyle w:val="ListParagraph"/>
        <w:numPr>
          <w:ilvl w:val="0"/>
          <w:numId w:val="2"/>
        </w:numPr>
        <w:spacing w:after="80" w:line="276"/>
      </w:pPr>
      <w:r>
        <w:rPr>
          <w:rFonts w:ascii="Calibri" w:cs="Calibri" w:eastAsia="Calibri" w:hAnsi="Calibri"/>
          <w:sz w:val="22"/>
          <w:szCs w:val="22"/>
        </w:rPr>
        <w:t xml:space="preserve">A logout endpoint is mandatory and must blacklist the presented refresh token.</w:t>
      </w:r>
    </w:p>
    <w:p>
      <w:pPr>
        <w:pStyle w:val="ListParagraph"/>
        <w:numPr>
          <w:ilvl w:val="0"/>
          <w:numId w:val="2"/>
        </w:numPr>
        <w:spacing w:after="80" w:line="276"/>
      </w:pPr>
      <w:r>
        <w:rPr>
          <w:rFonts w:ascii="Calibri" w:cs="Calibri" w:eastAsia="Calibri" w:hAnsi="Calibri"/>
          <w:sz w:val="22"/>
          <w:szCs w:val="22"/>
        </w:rPr>
        <w:t xml:space="preserve">REST_FRAMEWORK.DEFAULT_PERMISSION_CLASSES is set globally to IsAuthenticated. Any endpoint that must be public (registration, login, health check) opts out explicitly and individually — the default is closed, not open.</w:t>
      </w:r>
    </w:p>
    <w:p>
      <w:pPr>
        <w:pStyle w:val="ListParagraph"/>
        <w:numPr>
          <w:ilvl w:val="0"/>
          <w:numId w:val="2"/>
        </w:numPr>
        <w:spacing w:after="80" w:line="276"/>
      </w:pPr>
      <w:r>
        <w:rPr>
          <w:rFonts w:ascii="Calibri" w:cs="Calibri" w:eastAsia="Calibri" w:hAnsi="Calibri"/>
          <w:sz w:val="22"/>
          <w:szCs w:val="22"/>
        </w:rPr>
        <w:t xml:space="preserve">Rate limiting (DRF throttling) is mandatory on every authentication endpoint and on the inference-submission endpoint, at minimum.</w:t>
      </w:r>
    </w:p>
    <w:p>
      <w:pPr>
        <w:pStyle w:val="Heading2"/>
        <w:spacing w:after="120" w:before="280"/>
      </w:pPr>
      <w:r>
        <w:t xml:space="preserve">2.2 Role Model</w:t>
      </w:r>
    </w:p>
    <w:p>
      <w:pPr>
        <w:spacing w:after="160" w:line="276"/>
      </w:pPr>
      <w:r>
        <w:rPr>
          <w:rFonts w:ascii="Calibri" w:cs="Calibri" w:eastAsia="Calibri" w:hAnsi="Calibri"/>
          <w:sz w:val="22"/>
          <w:szCs w:val="22"/>
        </w:rPr>
        <w:t xml:space="preserve">Role continues to be structural (an Academy or a PlayerProfile row via a one-to-one relation to the user), not a stored flag — this design is retained from V1 as correct. A coach account is additionally gated by an is_verified flag on Academy (see §10.3); an unverified coach account exists but has read-only access to their own profile until approved.</w:t>
      </w:r>
    </w:p>
    <w:p>
      <w:pPr>
        <w:pStyle w:val="Heading2"/>
        <w:spacing w:after="120" w:before="280"/>
      </w:pPr>
      <w:r>
        <w:t xml:space="preserve">2.3 Serializers</w:t>
      </w:r>
    </w:p>
    <w:p>
      <w:pPr>
        <w:spacing w:after="160" w:line="276"/>
      </w:pPr>
      <w:r>
        <w:rPr>
          <w:rFonts w:ascii="Calibri" w:cs="Calibri" w:eastAsia="Calibri" w:hAnsi="Calibri"/>
          <w:sz w:val="22"/>
          <w:szCs w:val="22"/>
        </w:rPr>
        <w:t xml:space="preserve">fields = '__all__' is prohibited. Every serializer declares its field list explicitly. Every model — including Academy and CoachOverrideLog, which had no serializer in V1 — has a defined, reviewed serializer.</w:t>
      </w:r>
    </w:p>
    <w:p>
      <w:pPr>
        <w:pStyle w:val="Heading2"/>
        <w:spacing w:after="120" w:before="280"/>
      </w:pPr>
      <w:r>
        <w:t xml:space="preserve">2.4 Pagination</w:t>
      </w:r>
    </w:p>
    <w:p>
      <w:pPr>
        <w:spacing w:after="160" w:line="276"/>
      </w:pPr>
      <w:r>
        <w:rPr>
          <w:rFonts w:ascii="Calibri" w:cs="Calibri" w:eastAsia="Calibri" w:hAnsi="Calibri"/>
          <w:sz w:val="22"/>
          <w:szCs w:val="22"/>
        </w:rPr>
        <w:t xml:space="preserve">REST_FRAMEWORK.DEFAULT_PAGINATION_CLASS is set globally. No list-returning endpoint may return an unbounded queryset.</w:t>
      </w:r>
    </w:p>
    <w:p>
      <w:pPr>
        <w:pStyle w:val="Heading2"/>
        <w:spacing w:after="120" w:before="280"/>
      </w:pPr>
      <w:r>
        <w:t xml:space="preserve">2.5 Observability</w:t>
      </w:r>
    </w:p>
    <w:p>
      <w:pPr>
        <w:pStyle w:val="ListParagraph"/>
        <w:numPr>
          <w:ilvl w:val="0"/>
          <w:numId w:val="2"/>
        </w:numPr>
        <w:spacing w:after="80" w:line="276"/>
      </w:pPr>
      <w:r>
        <w:rPr>
          <w:rFonts w:ascii="Calibri" w:cs="Calibri" w:eastAsia="Calibri" w:hAnsi="Calibri"/>
          <w:sz w:val="22"/>
          <w:szCs w:val="22"/>
        </w:rPr>
        <w:t xml:space="preserve">A LOGGING configuration is mandatory: structured, request-ID-correlated logs, shipped to a centralized store.</w:t>
      </w:r>
    </w:p>
    <w:p>
      <w:pPr>
        <w:pStyle w:val="ListParagraph"/>
        <w:numPr>
          <w:ilvl w:val="0"/>
          <w:numId w:val="2"/>
        </w:numPr>
        <w:spacing w:after="80" w:line="276"/>
      </w:pPr>
      <w:r>
        <w:rPr>
          <w:rFonts w:ascii="Calibri" w:cs="Calibri" w:eastAsia="Calibri" w:hAnsi="Calibri"/>
          <w:sz w:val="22"/>
          <w:szCs w:val="22"/>
        </w:rPr>
        <w:t xml:space="preserve">A health-check endpoint is mandatory (see §14) and reports both liveness and readiness (database and task-queue connectivity).</w:t>
      </w:r>
    </w:p>
    <w:p>
      <w:pPr>
        <w:pStyle w:val="Heading1"/>
        <w:spacing w:after="160" w:before="360"/>
      </w:pPr>
      <w:r>
        <w:t xml:space="preserve">3. Frontend</w:t>
      </w:r>
    </w:p>
    <w:p>
      <w:pPr>
        <w:spacing w:after="160" w:line="276"/>
      </w:pPr>
      <w:r>
        <w:rPr>
          <w:rFonts w:ascii="Calibri" w:cs="Calibri" w:eastAsia="Calibri" w:hAnsi="Calibri"/>
          <w:sz w:val="22"/>
          <w:szCs w:val="22"/>
        </w:rPr>
        <w:t xml:space="preserve">React + TanStack Router/Query is retained — the V1 audit found this stack's stateless, JWT-based design sound and did not fault it structurally. The following close every gap identified in the V1 audit:</w:t>
      </w:r>
    </w:p>
    <w:p>
      <w:pPr>
        <w:pStyle w:val="Heading2"/>
        <w:spacing w:after="120" w:before="280"/>
      </w:pPr>
      <w:r>
        <w:t xml:space="preserve">3.1 Type Safety</w:t>
      </w:r>
    </w:p>
    <w:p>
      <w:pPr>
        <w:spacing w:after="160" w:line="276"/>
      </w:pPr>
      <w:r>
        <w:rPr>
          <w:rFonts w:ascii="Calibri" w:cs="Calibri" w:eastAsia="Calibri" w:hAnsi="Calibri"/>
          <w:sz w:val="22"/>
          <w:szCs w:val="22"/>
        </w:rPr>
        <w:t xml:space="preserve">The entire application source is TypeScript (.tsx/.ts). The V1 split between untyped .jsx route files and a nominally-strict tsconfig.json that silently excluded them is prohibited going forward — there is no untyped application code.</w:t>
      </w:r>
    </w:p>
    <w:p>
      <w:pPr>
        <w:pStyle w:val="Heading2"/>
        <w:spacing w:after="120" w:before="280"/>
      </w:pPr>
      <w:r>
        <w:t xml:space="preserve">3.2 Component Library</w:t>
      </w:r>
    </w:p>
    <w:p>
      <w:pPr>
        <w:spacing w:after="160" w:line="276"/>
      </w:pPr>
      <w:r>
        <w:rPr>
          <w:rFonts w:ascii="Calibri" w:cs="Calibri" w:eastAsia="Calibri" w:hAnsi="Calibri"/>
          <w:sz w:val="22"/>
          <w:szCs w:val="22"/>
        </w:rPr>
        <w:t xml:space="preserve">Exactly one implementation per UI component. The V1 state (a full duplicate .jsx/.tsx set for the shared component library, with one half dead and unexecuted) is prohibited. Every component exists in exactly one file.</w:t>
      </w:r>
    </w:p>
    <w:p>
      <w:pPr>
        <w:pStyle w:val="Heading2"/>
        <w:spacing w:after="120" w:before="280"/>
      </w:pPr>
      <w:r>
        <w:t xml:space="preserve">3.3 Bundling</w:t>
      </w:r>
    </w:p>
    <w:p>
      <w:pPr>
        <w:spacing w:after="160" w:line="276"/>
      </w:pPr>
      <w:r>
        <w:rPr>
          <w:rFonts w:ascii="Calibri" w:cs="Calibri" w:eastAsia="Calibri" w:hAnsi="Calibri"/>
          <w:sz w:val="22"/>
          <w:szCs w:val="22"/>
        </w:rPr>
        <w:t xml:space="preserve">Code-splitting is mandatory: the Coach dashboard and the Learner dashboard are separate lazily-loaded chunks, not one monolithic bundle. A build that produces a single JS chunk exceeding the bundler's own size-warning threshold fails CI (see §9.4).</w:t>
      </w:r>
    </w:p>
    <w:p>
      <w:pPr>
        <w:pStyle w:val="Heading2"/>
        <w:spacing w:after="120" w:before="280"/>
      </w:pPr>
      <w:r>
        <w:t xml:space="preserve">3.4 State Management</w:t>
      </w:r>
    </w:p>
    <w:p>
      <w:pPr>
        <w:spacing w:after="160" w:line="276"/>
      </w:pPr>
      <w:r>
        <w:rPr>
          <w:rFonts w:ascii="Calibri" w:cs="Calibri" w:eastAsia="Calibri" w:hAnsi="Calibri"/>
          <w:sz w:val="22"/>
          <w:szCs w:val="22"/>
        </w:rPr>
        <w:t xml:space="preserve">Server state is owned by React Query. Per-role UI state is owned by a single React Context per role (the Coach/Learner context pattern already validated in V1 is retained as the standard, not replaced).</w:t>
      </w:r>
    </w:p>
    <w:p>
      <w:pPr>
        <w:pStyle w:val="Heading2"/>
        <w:spacing w:after="120" w:before="280"/>
      </w:pPr>
      <w:r>
        <w:t xml:space="preserve">3.5 Testing</w:t>
      </w:r>
    </w:p>
    <w:p>
      <w:pPr>
        <w:spacing w:after="160" w:line="276"/>
      </w:pPr>
      <w:r>
        <w:rPr>
          <w:rFonts w:ascii="Calibri" w:cs="Calibri" w:eastAsia="Calibri" w:hAnsi="Calibri"/>
          <w:sz w:val="22"/>
          <w:szCs w:val="22"/>
        </w:rPr>
        <w:t xml:space="preserve">Vitest + React Testing Library is the mandated frontend test framework (a natural fit given the existing Vite toolchain). Authentication flows and score-display logic have mandatory test coverage; see §11.</w:t>
      </w:r>
    </w:p>
    <w:p>
      <w:pPr>
        <w:pStyle w:val="Heading1"/>
        <w:spacing w:after="160" w:before="360"/>
      </w:pPr>
      <w:r>
        <w:t xml:space="preserve">4. Database</w:t>
      </w:r>
    </w:p>
    <w:p>
      <w:pPr>
        <w:pStyle w:val="Heading2"/>
        <w:spacing w:after="120" w:before="280"/>
      </w:pPr>
      <w:r>
        <w:t xml:space="preserve">4.1 Engine</w:t>
      </w:r>
    </w:p>
    <w:p>
      <w:pPr>
        <w:spacing w:after="160" w:line="276"/>
      </w:pPr>
      <w:r>
        <w:rPr>
          <w:rFonts w:ascii="Calibri" w:cs="Calibri" w:eastAsia="Calibri" w:hAnsi="Calibri"/>
          <w:sz w:val="22"/>
          <w:szCs w:val="22"/>
        </w:rPr>
        <w:t xml:space="preserve">PostgreSQL is the only supported database, in every environment including local development. SQLite is prohibited — it cannot support the concurrent-writer requirement of an async inference pipeline (§7) even at small scale, and a development/production engine mismatch is itself a defect class this specification exists to prevent.</w:t>
      </w:r>
    </w:p>
    <w:p>
      <w:pPr>
        <w:pStyle w:val="Heading2"/>
        <w:spacing w:after="120" w:before="280"/>
      </w:pPr>
      <w:r>
        <w:t xml:space="preserve">4.2 Schema (frozen)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5000"/>
        <w:gridCol w:w="2600"/>
      </w:tblGrid>
      <w:tr>
        <w:trPr>
          <w:tblHeader/>
        </w:trPr>
        <w:tc>
          <w:tcPr>
            <w:tcW w:type="dxa" w:w="1900"/>
            <w:shd w:fill="1F3B57" w:val="clear"/>
            <w:tcMar>
              <w:top w:type="dxa" w:w="80"/>
              <w:left w:type="dxa" w:w="120"/>
              <w:bottom w:type="dxa" w:w="80"/>
              <w:right w:type="dxa" w:w="120"/>
            </w:tcMar>
          </w:tcPr>
          <w:p>
            <w:r>
              <w:rPr>
                <w:rFonts w:ascii="Calibri" w:cs="Calibri" w:eastAsia="Calibri" w:hAnsi="Calibri"/>
                <w:b/>
                <w:bCs/>
                <w:color w:val="FFFFFF"/>
                <w:sz w:val="19"/>
                <w:szCs w:val="19"/>
              </w:rPr>
              <w:t xml:space="preserve">Model</w:t>
            </w:r>
          </w:p>
        </w:tc>
        <w:tc>
          <w:tcPr>
            <w:tcW w:type="dxa" w:w="5000"/>
            <w:shd w:fill="1F3B57" w:val="clear"/>
            <w:tcMar>
              <w:top w:type="dxa" w:w="80"/>
              <w:left w:type="dxa" w:w="120"/>
              <w:bottom w:type="dxa" w:w="80"/>
              <w:right w:type="dxa" w:w="120"/>
            </w:tcMar>
          </w:tcPr>
          <w:p>
            <w:r>
              <w:rPr>
                <w:rFonts w:ascii="Calibri" w:cs="Calibri" w:eastAsia="Calibri" w:hAnsi="Calibri"/>
                <w:b/>
                <w:bCs/>
                <w:color w:val="FFFFFF"/>
                <w:sz w:val="19"/>
                <w:szCs w:val="19"/>
              </w:rPr>
              <w:t xml:space="preserve">Fields</w:t>
            </w:r>
          </w:p>
        </w:tc>
        <w:tc>
          <w:tcPr>
            <w:tcW w:type="dxa" w:w="2600"/>
            <w:shd w:fill="1F3B57" w:val="clear"/>
            <w:tcMar>
              <w:top w:type="dxa" w:w="80"/>
              <w:left w:type="dxa" w:w="120"/>
              <w:bottom w:type="dxa" w:w="80"/>
              <w:right w:type="dxa" w:w="120"/>
            </w:tcMar>
          </w:tcPr>
          <w:p>
            <w:r>
              <w:rPr>
                <w:rFonts w:ascii="Calibri" w:cs="Calibri" w:eastAsia="Calibri" w:hAnsi="Calibri"/>
                <w:b/>
                <w:bCs/>
                <w:color w:val="FFFFFF"/>
                <w:sz w:val="19"/>
                <w:szCs w:val="19"/>
              </w:rPr>
              <w:t xml:space="preserve">Change from V1</w:t>
            </w:r>
          </w:p>
        </w:tc>
      </w:tr>
      <w:tr>
        <w:tc>
          <w:tcPr>
            <w:tcW w:type="dxa" w:w="1900"/>
            <w:tcMar>
              <w:top w:type="dxa" w:w="80"/>
              <w:left w:type="dxa" w:w="120"/>
              <w:bottom w:type="dxa" w:w="80"/>
              <w:right w:type="dxa" w:w="120"/>
            </w:tcMar>
          </w:tcPr>
          <w:p>
            <w:r>
              <w:rPr>
                <w:rFonts w:ascii="Calibri" w:cs="Calibri" w:eastAsia="Calibri" w:hAnsi="Calibri"/>
                <w:b w:val="false"/>
                <w:bCs w:val="false"/>
                <w:color w:val="000000"/>
                <w:sz w:val="19"/>
                <w:szCs w:val="19"/>
              </w:rPr>
              <w:t xml:space="preserve">Academy</w:t>
            </w:r>
          </w:p>
        </w:tc>
        <w:tc>
          <w:tcPr>
            <w:tcW w:type="dxa" w:w="5000"/>
            <w:tcMar>
              <w:top w:type="dxa" w:w="80"/>
              <w:left w:type="dxa" w:w="120"/>
              <w:bottom w:type="dxa" w:w="80"/>
              <w:right w:type="dxa" w:w="120"/>
            </w:tcMar>
          </w:tcPr>
          <w:p>
            <w:r>
              <w:rPr>
                <w:rFonts w:ascii="Calibri" w:cs="Calibri" w:eastAsia="Calibri" w:hAnsi="Calibri"/>
                <w:b w:val="false"/>
                <w:bCs w:val="false"/>
                <w:color w:val="000000"/>
                <w:sz w:val="19"/>
                <w:szCs w:val="19"/>
              </w:rPr>
              <w:t xml:space="preserve">user (1:1), academy_name, is_verified (bool, default False), created_at</w:t>
            </w:r>
          </w:p>
        </w:tc>
        <w:tc>
          <w:tcPr>
            <w:tcW w:type="dxa" w:w="2600"/>
            <w:tcMar>
              <w:top w:type="dxa" w:w="80"/>
              <w:left w:type="dxa" w:w="120"/>
              <w:bottom w:type="dxa" w:w="80"/>
              <w:right w:type="dxa" w:w="120"/>
            </w:tcMar>
          </w:tcPr>
          <w:p>
            <w:r>
              <w:rPr>
                <w:rFonts w:ascii="Calibri" w:cs="Calibri" w:eastAsia="Calibri" w:hAnsi="Calibri"/>
                <w:b w:val="false"/>
                <w:bCs w:val="false"/>
                <w:color w:val="000000"/>
                <w:sz w:val="19"/>
                <w:szCs w:val="19"/>
              </w:rPr>
              <w:t xml:space="preserve">is_verified is new — closes the coach-verification gap.</w:t>
            </w:r>
          </w:p>
        </w:tc>
      </w:tr>
      <w:tr>
        <w:tc>
          <w:tcPr>
            <w:tcW w:type="dxa" w:w="1900"/>
            <w:tcMar>
              <w:top w:type="dxa" w:w="80"/>
              <w:left w:type="dxa" w:w="120"/>
              <w:bottom w:type="dxa" w:w="80"/>
              <w:right w:type="dxa" w:w="120"/>
            </w:tcMar>
          </w:tcPr>
          <w:p>
            <w:r>
              <w:rPr>
                <w:rFonts w:ascii="Calibri" w:cs="Calibri" w:eastAsia="Calibri" w:hAnsi="Calibri"/>
                <w:b w:val="false"/>
                <w:bCs w:val="false"/>
                <w:color w:val="000000"/>
                <w:sz w:val="19"/>
                <w:szCs w:val="19"/>
              </w:rPr>
              <w:t xml:space="preserve">PlayerProfile</w:t>
            </w:r>
          </w:p>
        </w:tc>
        <w:tc>
          <w:tcPr>
            <w:tcW w:type="dxa" w:w="5000"/>
            <w:tcMar>
              <w:top w:type="dxa" w:w="80"/>
              <w:left w:type="dxa" w:w="120"/>
              <w:bottom w:type="dxa" w:w="80"/>
              <w:right w:type="dxa" w:w="120"/>
            </w:tcMar>
          </w:tcPr>
          <w:p>
            <w:r>
              <w:rPr>
                <w:rFonts w:ascii="Calibri" w:cs="Calibri" w:eastAsia="Calibri" w:hAnsi="Calibri"/>
                <w:b w:val="false"/>
                <w:bCs w:val="false"/>
                <w:color w:val="000000"/>
                <w:sz w:val="19"/>
                <w:szCs w:val="19"/>
              </w:rPr>
              <w:t xml:space="preserve">user, academy (nullable FK), name, batting_hand, playing_level, archetype, total_points, current_streak</w:t>
            </w:r>
          </w:p>
        </w:tc>
        <w:tc>
          <w:tcPr>
            <w:tcW w:type="dxa" w:w="2600"/>
            <w:tcMar>
              <w:top w:type="dxa" w:w="80"/>
              <w:left w:type="dxa" w:w="120"/>
              <w:bottom w:type="dxa" w:w="80"/>
              <w:right w:type="dxa" w:w="120"/>
            </w:tcMar>
          </w:tcPr>
          <w:p>
            <w:r>
              <w:rPr>
                <w:rFonts w:ascii="Calibri" w:cs="Calibri" w:eastAsia="Calibri" w:hAnsi="Calibri"/>
                <w:b w:val="false"/>
                <w:bCs w:val="false"/>
                <w:color w:val="000000"/>
                <w:sz w:val="19"/>
                <w:szCs w:val="19"/>
              </w:rPr>
              <w:t xml:space="preserve">batting_hand/playing_level are populated from real signup input, never a hardcoded default (already corrected during V1 hardening).</w:t>
            </w:r>
          </w:p>
        </w:tc>
      </w:tr>
      <w:tr>
        <w:tc>
          <w:tcPr>
            <w:tcW w:type="dxa" w:w="1900"/>
            <w:tcMar>
              <w:top w:type="dxa" w:w="80"/>
              <w:left w:type="dxa" w:w="120"/>
              <w:bottom w:type="dxa" w:w="80"/>
              <w:right w:type="dxa" w:w="120"/>
            </w:tcMar>
          </w:tcPr>
          <w:p>
            <w:r>
              <w:rPr>
                <w:rFonts w:ascii="Calibri" w:cs="Calibri" w:eastAsia="Calibri" w:hAnsi="Calibri"/>
                <w:b w:val="false"/>
                <w:bCs w:val="false"/>
                <w:color w:val="000000"/>
                <w:sz w:val="19"/>
                <w:szCs w:val="19"/>
              </w:rPr>
              <w:t xml:space="preserve">AnalysisSession</w:t>
            </w:r>
          </w:p>
        </w:tc>
        <w:tc>
          <w:tcPr>
            <w:tcW w:type="dxa" w:w="5000"/>
            <w:tcMar>
              <w:top w:type="dxa" w:w="80"/>
              <w:left w:type="dxa" w:w="120"/>
              <w:bottom w:type="dxa" w:w="80"/>
              <w:right w:type="dxa" w:w="120"/>
            </w:tcMar>
          </w:tcPr>
          <w:p>
            <w:r>
              <w:rPr>
                <w:rFonts w:ascii="Calibri" w:cs="Calibri" w:eastAsia="Calibri" w:hAnsi="Calibri"/>
                <w:b w:val="false"/>
                <w:bCs w:val="false"/>
                <w:color w:val="000000"/>
                <w:sz w:val="19"/>
                <w:szCs w:val="19"/>
              </w:rPr>
              <w:t xml:space="preserve">player (FK), title, status, overall_score, primary_weakness, primary_strength, thing_to_change, bonus_insight, balance/power/technique/defence_score, confidence_variance (JSON), attribution_drivers (JSON), is_fallback (bool), counterfactual_simulation (JSON, new), lopo_disagreement (JSON, new)</w:t>
            </w:r>
          </w:p>
        </w:tc>
        <w:tc>
          <w:tcPr>
            <w:tcW w:type="dxa" w:w="2600"/>
            <w:tcMar>
              <w:top w:type="dxa" w:w="80"/>
              <w:left w:type="dxa" w:w="120"/>
              <w:bottom w:type="dxa" w:w="80"/>
              <w:right w:type="dxa" w:w="120"/>
            </w:tcMar>
          </w:tcPr>
          <w:p>
            <w:r>
              <w:rPr>
                <w:rFonts w:ascii="Calibri" w:cs="Calibri" w:eastAsia="Calibri" w:hAnsi="Calibri"/>
                <w:b w:val="false"/>
                <w:bCs w:val="false"/>
                <w:color w:val="000000"/>
                <w:sz w:val="19"/>
                <w:szCs w:val="19"/>
              </w:rPr>
              <w:t xml:space="preserve">Two new JSON fields carry the V2 explainability/uncertainty mechanisms (§5.3, §5.4).</w:t>
            </w:r>
          </w:p>
        </w:tc>
      </w:tr>
      <w:tr>
        <w:tc>
          <w:tcPr>
            <w:tcW w:type="dxa" w:w="1900"/>
            <w:tcMar>
              <w:top w:type="dxa" w:w="80"/>
              <w:left w:type="dxa" w:w="120"/>
              <w:bottom w:type="dxa" w:w="80"/>
              <w:right w:type="dxa" w:w="120"/>
            </w:tcMar>
          </w:tcPr>
          <w:p>
            <w:r>
              <w:rPr>
                <w:rFonts w:ascii="Calibri" w:cs="Calibri" w:eastAsia="Calibri" w:hAnsi="Calibri"/>
                <w:b w:val="false"/>
                <w:bCs w:val="false"/>
                <w:color w:val="000000"/>
                <w:sz w:val="19"/>
                <w:szCs w:val="19"/>
              </w:rPr>
              <w:t xml:space="preserve">CoachOverrideLog</w:t>
            </w:r>
          </w:p>
        </w:tc>
        <w:tc>
          <w:tcPr>
            <w:tcW w:type="dxa" w:w="5000"/>
            <w:tcMar>
              <w:top w:type="dxa" w:w="80"/>
              <w:left w:type="dxa" w:w="120"/>
              <w:bottom w:type="dxa" w:w="80"/>
              <w:right w:type="dxa" w:w="120"/>
            </w:tcMar>
          </w:tcPr>
          <w:p>
            <w:r>
              <w:rPr>
                <w:rFonts w:ascii="Calibri" w:cs="Calibri" w:eastAsia="Calibri" w:hAnsi="Calibri"/>
                <w:b w:val="false"/>
                <w:bCs w:val="false"/>
                <w:color w:val="000000"/>
                <w:sz w:val="19"/>
                <w:szCs w:val="19"/>
              </w:rPr>
              <w:t xml:space="preserve">session (FK), coach (FK), metric_changed, old_value, new_value, reason, timestamp</w:t>
            </w:r>
          </w:p>
        </w:tc>
        <w:tc>
          <w:tcPr>
            <w:tcW w:type="dxa" w:w="2600"/>
            <w:tcMar>
              <w:top w:type="dxa" w:w="80"/>
              <w:left w:type="dxa" w:w="120"/>
              <w:bottom w:type="dxa" w:w="80"/>
              <w:right w:type="dxa" w:w="120"/>
            </w:tcMar>
          </w:tcPr>
          <w:p>
            <w:r>
              <w:rPr>
                <w:rFonts w:ascii="Calibri" w:cs="Calibri" w:eastAsia="Calibri" w:hAnsi="Calibri"/>
                <w:b w:val="false"/>
                <w:bCs w:val="false"/>
                <w:color w:val="000000"/>
                <w:sz w:val="19"/>
                <w:szCs w:val="19"/>
              </w:rPr>
              <w:t xml:space="preserve">Unchanged; now has a serializer and a read endpoint (§14).</w:t>
            </w:r>
          </w:p>
        </w:tc>
      </w:tr>
      <w:tr>
        <w:tc>
          <w:tcPr>
            <w:tcW w:type="dxa" w:w="1900"/>
            <w:tcMar>
              <w:top w:type="dxa" w:w="80"/>
              <w:left w:type="dxa" w:w="120"/>
              <w:bottom w:type="dxa" w:w="80"/>
              <w:right w:type="dxa" w:w="120"/>
            </w:tcMar>
          </w:tcPr>
          <w:p>
            <w:r>
              <w:rPr>
                <w:rFonts w:ascii="Calibri" w:cs="Calibri" w:eastAsia="Calibri" w:hAnsi="Calibri"/>
                <w:b w:val="false"/>
                <w:bCs w:val="false"/>
                <w:color w:val="000000"/>
                <w:sz w:val="19"/>
                <w:szCs w:val="19"/>
              </w:rPr>
              <w:t xml:space="preserve">CoachApplication</w:t>
            </w:r>
          </w:p>
        </w:tc>
        <w:tc>
          <w:tcPr>
            <w:tcW w:type="dxa" w:w="5000"/>
            <w:tcMar>
              <w:top w:type="dxa" w:w="80"/>
              <w:left w:type="dxa" w:w="120"/>
              <w:bottom w:type="dxa" w:w="80"/>
              <w:right w:type="dxa" w:w="120"/>
            </w:tcMar>
          </w:tcPr>
          <w:p>
            <w:r>
              <w:rPr>
                <w:rFonts w:ascii="Calibri" w:cs="Calibri" w:eastAsia="Calibri" w:hAnsi="Calibri"/>
                <w:b w:val="false"/>
                <w:bCs w:val="false"/>
                <w:color w:val="000000"/>
                <w:sz w:val="19"/>
                <w:szCs w:val="19"/>
              </w:rPr>
              <w:t xml:space="preserve">academy (FK), submitted_at, status (PENDING/APPROVED/REJECTED), reviewed_by, reviewed_at</w:t>
            </w:r>
          </w:p>
        </w:tc>
        <w:tc>
          <w:tcPr>
            <w:tcW w:type="dxa" w:w="2600"/>
            <w:tcMar>
              <w:top w:type="dxa" w:w="80"/>
              <w:left w:type="dxa" w:w="120"/>
              <w:bottom w:type="dxa" w:w="80"/>
              <w:right w:type="dxa" w:w="120"/>
            </w:tcMar>
          </w:tcPr>
          <w:p>
            <w:r>
              <w:rPr>
                <w:rFonts w:ascii="Calibri" w:cs="Calibri" w:eastAsia="Calibri" w:hAnsi="Calibri"/>
                <w:b w:val="false"/>
                <w:bCs w:val="false"/>
                <w:color w:val="000000"/>
                <w:sz w:val="19"/>
                <w:szCs w:val="19"/>
              </w:rPr>
              <w:t xml:space="preserve">New model backing the coach-verification workflow (§10.3).</w:t>
            </w:r>
          </w:p>
        </w:tc>
      </w:tr>
    </w:tbl>
    <w:p>
      <w:pPr>
        <w:pStyle w:val="Heading2"/>
        <w:spacing w:after="120" w:before="280"/>
      </w:pPr>
      <w:r>
        <w:t xml:space="preserve">4.3 Migrations</w:t>
      </w:r>
    </w:p>
    <w:p>
      <w:pPr>
        <w:spacing w:after="160" w:line="276"/>
      </w:pPr>
      <w:r>
        <w:rPr>
          <w:rFonts w:ascii="Calibri" w:cs="Calibri" w:eastAsia="Calibri" w:hAnsi="Calibri"/>
          <w:sz w:val="22"/>
          <w:szCs w:val="22"/>
        </w:rPr>
        <w:t xml:space="preserve">Every migration that changes the schema in the running codebase is committed to version control in the same change set as the model change it corresponds to. A model field with no corresponding committed migration is a release-blocking defect, not a follow-up item.</w:t>
      </w:r>
    </w:p>
    <w:p>
      <w:pPr>
        <w:pStyle w:val="Heading2"/>
        <w:spacing w:after="120" w:before="280"/>
      </w:pPr>
      <w:r>
        <w:t xml:space="preserve">4.4 Read Scaling</w:t>
      </w:r>
    </w:p>
    <w:p>
      <w:pPr>
        <w:spacing w:after="160" w:line="276"/>
      </w:pPr>
      <w:r>
        <w:rPr>
          <w:rFonts w:ascii="Calibri" w:cs="Calibri" w:eastAsia="Calibri" w:hAnsi="Calibri"/>
          <w:sz w:val="22"/>
          <w:szCs w:val="22"/>
        </w:rPr>
        <w:t xml:space="preserve">The schema is designed to support read replicas from day one (no session-affinity assumptions, no server-side session state) — the initial deployment may run a single Postgres instance, but the application layer never assumes it is the only one.</w:t>
      </w:r>
    </w:p>
    <w:p>
      <w:r>
        <w:br w:type="page"/>
      </w:r>
    </w:p>
    <w:p>
      <w:pPr>
        <w:pStyle w:val="Heading1"/>
        <w:spacing w:after="160" w:before="360"/>
      </w:pPr>
      <w:r>
        <w:t xml:space="preserve">5. ML — Model, Explainability, Uncertainty</w:t>
      </w:r>
    </w:p>
    <w:p>
      <w:pPr>
        <w:spacing w:after="160" w:line="276"/>
      </w:pPr>
      <w:r>
        <w:rPr>
          <w:rFonts w:ascii="Calibri" w:cs="Calibri" w:eastAsia="Calibri" w:hAnsi="Calibri"/>
          <w:sz w:val="22"/>
          <w:szCs w:val="22"/>
        </w:rPr>
        <w:t xml:space="preserve">The following are the frozen outcomes of the V2 design review — each traceable to a specific prior decision (see §15).</w:t>
      </w:r>
    </w:p>
    <w:p>
      <w:pPr>
        <w:pStyle w:val="Heading2"/>
        <w:spacing w:after="120" w:before="280"/>
      </w:pPr>
      <w:r>
        <w:t xml:space="preserve">5.1 Model Architecture</w:t>
      </w:r>
    </w:p>
    <w:p>
      <w:pPr>
        <w:spacing w:after="160" w:line="276"/>
      </w:pPr>
      <w:r>
        <w:rPr>
          <w:rFonts w:ascii="Calibri" w:cs="Calibri" w:eastAsia="Calibri" w:hAnsi="Calibri"/>
          <w:sz w:val="22"/>
          <w:szCs w:val="22"/>
        </w:rPr>
        <w:t xml:space="preserve">Conv1D(64) → BatchNorm → Dropout(0.2) → BiLSTM(64) → Dropout(0.3) → Confidence-Gated Temporal Attention → Dense(32) → Dense(4, sigmoid). The only architectural change from V1 is the attention layer: attention logits are now additionally conditioned on the per-frame confidence score produced in §6.2, so the model down-weights low-confidence (interpolated or low-quality) frames in its own pooling step rather than treating all 7 frames as equally trustworthy.</w:t>
      </w:r>
    </w:p>
    <w:p>
      <w:pPr>
        <w:pStyle w:val="Heading2"/>
        <w:spacing w:after="120" w:before="280"/>
      </w:pPr>
      <w:r>
        <w:t xml:space="preserve">5.2 Loss Function</w:t>
      </w:r>
    </w:p>
    <w:p>
      <w:pPr>
        <w:spacing w:after="160" w:line="276"/>
      </w:pPr>
      <w:r>
        <w:rPr>
          <w:rFonts w:ascii="Calibri" w:cs="Calibri" w:eastAsia="Calibri" w:hAnsi="Calibri"/>
          <w:sz w:val="22"/>
          <w:szCs w:val="22"/>
        </w:rPr>
        <w:t xml:space="preserve">MSE is retained as the baseline training loss for V2's frozen scope (a distributional/USDL-style loss and multi-task uncertainty weighting were reviewed and are recorded as candidate future work, §15 — not adopted in this freeze, to keep the six-month scope achievable and testable against a single, unified evaluation protocol first, per §5.5).</w:t>
      </w:r>
    </w:p>
    <w:p>
      <w:pPr>
        <w:pStyle w:val="Heading2"/>
        <w:spacing w:after="120" w:before="280"/>
      </w:pPr>
      <w:r>
        <w:t xml:space="preserve">5.3 Explainability</w:t>
      </w:r>
    </w:p>
    <w:p>
      <w:pPr>
        <w:pStyle w:val="ListParagraph"/>
        <w:numPr>
          <w:ilvl w:val="0"/>
          <w:numId w:val="2"/>
        </w:numPr>
        <w:spacing w:after="80" w:line="276"/>
      </w:pPr>
      <w:r>
        <w:rPr>
          <w:rFonts w:ascii="Calibri" w:cs="Calibri" w:eastAsia="Calibri" w:hAnsi="Calibri"/>
          <w:sz w:val="22"/>
          <w:szCs w:val="22"/>
        </w:rPr>
        <w:t xml:space="preserve">Expected Gradients (unchanged from V1) remains the primary per-joint attribution mechanism, now computed for all four scores, not only the weakest (closing the V1 asymmetry finding).</w:t>
      </w:r>
    </w:p>
    <w:p>
      <w:pPr>
        <w:pStyle w:val="ListParagraph"/>
        <w:numPr>
          <w:ilvl w:val="0"/>
          <w:numId w:val="2"/>
        </w:numPr>
        <w:spacing w:after="80" w:line="276"/>
      </w:pPr>
      <w:r>
        <w:rPr>
          <w:rFonts w:ascii="Calibri" w:cs="Calibri" w:eastAsia="Calibri" w:hAnsi="Calibri"/>
          <w:sz w:val="22"/>
          <w:szCs w:val="22"/>
        </w:rPr>
        <w:t xml:space="preserve">Counterfactual Drill Simulation (new): for the weakest score, the model is re-run forward with the top-attributed joint feature perturbed toward the population-average value for the session's skill bucket, and the predicted score delta is reported alongside the drill recommendation.</w:t>
      </w:r>
    </w:p>
    <w:p>
      <w:pPr>
        <w:pStyle w:val="ListParagraph"/>
        <w:numPr>
          <w:ilvl w:val="0"/>
          <w:numId w:val="2"/>
        </w:numPr>
        <w:spacing w:after="80" w:line="276"/>
      </w:pPr>
      <w:r>
        <w:rPr>
          <w:rFonts w:ascii="Calibri" w:cs="Calibri" w:eastAsia="Calibri" w:hAnsi="Calibri"/>
          <w:sz w:val="22"/>
          <w:szCs w:val="22"/>
        </w:rPr>
        <w:t xml:space="preserve">Both mechanisms are subject to the Adebayo et al.-style sanity check (parameter randomization, label randomization) as a mandatory pre-release validation step, not an optional nice-to-have.</w:t>
      </w:r>
    </w:p>
    <w:p>
      <w:pPr>
        <w:pStyle w:val="Heading2"/>
        <w:spacing w:after="120" w:before="280"/>
      </w:pPr>
      <w:r>
        <w:t xml:space="preserve">5.4 Uncertainty</w:t>
      </w:r>
    </w:p>
    <w:p>
      <w:pPr>
        <w:pStyle w:val="ListParagraph"/>
        <w:numPr>
          <w:ilvl w:val="0"/>
          <w:numId w:val="2"/>
        </w:numPr>
        <w:spacing w:after="80" w:line="276"/>
      </w:pPr>
      <w:r>
        <w:rPr>
          <w:rFonts w:ascii="Calibri" w:cs="Calibri" w:eastAsia="Calibri" w:hAnsi="Calibri"/>
          <w:sz w:val="22"/>
          <w:szCs w:val="22"/>
        </w:rPr>
        <w:t xml:space="preserve">MC-Dropout (30 passes, unchanged) remains the primary confidence signal surfaced to coaches as the High/Moderate/Low label.</w:t>
      </w:r>
    </w:p>
    <w:p>
      <w:pPr>
        <w:pStyle w:val="ListParagraph"/>
        <w:numPr>
          <w:ilvl w:val="0"/>
          <w:numId w:val="2"/>
        </w:numPr>
        <w:spacing w:after="80" w:line="276"/>
      </w:pPr>
      <w:r>
        <w:rPr>
          <w:rFonts w:ascii="Calibri" w:cs="Calibri" w:eastAsia="Calibri" w:hAnsi="Calibri"/>
          <w:sz w:val="22"/>
          <w:szCs w:val="22"/>
        </w:rPr>
        <w:t xml:space="preserve">Leave-One-Phase-Out Disagreement Signal (new): 7 additional forward passes, each masking one of the 7 frames, reporting how much the prediction shifts per masked phase. This is a secondary, cheaper signal and doubles as a phase-reliance explanation; it does not replace MC-Dropout as the primary calibration source.</w:t>
      </w:r>
    </w:p>
    <w:p>
      <w:pPr>
        <w:pStyle w:val="ListParagraph"/>
        <w:numPr>
          <w:ilvl w:val="0"/>
          <w:numId w:val="2"/>
        </w:numPr>
        <w:spacing w:after="80" w:line="276"/>
      </w:pPr>
      <w:r>
        <w:rPr>
          <w:rFonts w:ascii="Calibri" w:cs="Calibri" w:eastAsia="Calibri" w:hAnsi="Calibri"/>
          <w:sz w:val="22"/>
          <w:szCs w:val="22"/>
        </w:rPr>
        <w:t xml:space="preserve">Calibration of both signals against true error is a mandatory, reported evaluation step (§5.5) — a confidence label is not shipped as trustworthy without a calibration check behind it.</w:t>
      </w:r>
    </w:p>
    <w:p>
      <w:pPr>
        <w:pStyle w:val="Heading1"/>
        <w:spacing w:after="160" w:before="360"/>
      </w:pPr>
      <w:r>
        <w:t xml:space="preserve">6. Training Pipeline</w:t>
      </w:r>
    </w:p>
    <w:p>
      <w:pPr>
        <w:spacing w:after="160" w:line="276"/>
      </w:pPr>
      <w:r>
        <w:rPr>
          <w:rFonts w:ascii="Calibri" w:cs="Calibri" w:eastAsia="Calibri" w:hAnsi="Calibri"/>
          <w:sz w:val="22"/>
          <w:szCs w:val="22"/>
        </w:rPr>
        <w:t xml:space="preserve">Five stages, each with a single, non-duplicated implementation:</w:t>
      </w:r>
    </w:p>
    <w:p>
      <w:pPr>
        <w:pStyle w:val="Heading2"/>
        <w:spacing w:after="120" w:before="280"/>
      </w:pPr>
      <w:r>
        <w:t xml:space="preserve">6.1 Extraction</w:t>
      </w:r>
    </w:p>
    <w:p>
      <w:pPr>
        <w:spacing w:after="160" w:line="276"/>
      </w:pPr>
      <w:r>
        <w:rPr>
          <w:rFonts w:ascii="Calibri" w:cs="Calibri" w:eastAsia="Calibri" w:hAnsi="Calibri"/>
          <w:sz w:val="22"/>
          <w:szCs w:val="22"/>
        </w:rPr>
        <w:t xml:space="preserve">Wrist-Speed-Guided Adaptive Sampling replaces uniform time-slicing as the frozen frame-selection method: stance/trigger phases remain anchored near the start of the detected shot window; the remaining sample points are density-weighted toward the peak wrist-speed region of the window, computed from already-extracted keypoints at a cheap pre-sampling rate.</w:t>
      </w:r>
    </w:p>
    <w:p>
      <w:pPr>
        <w:pStyle w:val="Heading2"/>
        <w:spacing w:after="120" w:before="280"/>
      </w:pPr>
      <w:r>
        <w:t xml:space="preserve">6.2 Kinematic Validation</w:t>
      </w:r>
    </w:p>
    <w:p>
      <w:pPr>
        <w:spacing w:after="160" w:line="276"/>
      </w:pPr>
      <w:r>
        <w:rPr>
          <w:rFonts w:ascii="Calibri" w:cs="Calibri" w:eastAsia="Calibri" w:hAnsi="Calibri"/>
          <w:sz w:val="22"/>
          <w:szCs w:val="22"/>
        </w:rPr>
        <w:t xml:space="preserve">Two complementary, both-mandatory filters gate every session before it reaches training data: the existing bone-length coefficient-of-variation check (self-consistency), and the new Stance-Symmetry-Aware Temporal Confidence signal (cross-frame trajectory smoothness plus a stance-phase symmetry prior). A frame must pass both to be treated as real; the per-frame confidence score this produces is also the signal consumed by the Confidence-Gated Attention layer (§5.1) at inference time.</w:t>
      </w:r>
    </w:p>
    <w:p>
      <w:pPr>
        <w:pStyle w:val="Heading2"/>
        <w:spacing w:after="120" w:before="280"/>
      </w:pPr>
      <w:r>
        <w:t xml:space="preserve">6.3 Feature Engineering</w:t>
      </w:r>
    </w:p>
    <w:p>
      <w:pPr>
        <w:spacing w:after="160" w:line="276"/>
      </w:pPr>
      <w:r>
        <w:rPr>
          <w:rFonts w:ascii="Calibri" w:cs="Calibri" w:eastAsia="Calibri" w:hAnsi="Calibri"/>
          <w:sz w:val="22"/>
          <w:szCs w:val="22"/>
        </w:rPr>
        <w:t xml:space="preserve">Unchanged: 15 joint angles + 15 angular velocities per frame, 7 frames per session. The feature list and SEQ_LEN are defined in exactly one module (the schema module) and imported everywhere else — independent redefinition of this list in any other file is a coding-standards violation (§12.1), not a stylistic preference.</w:t>
      </w:r>
    </w:p>
    <w:p>
      <w:pPr>
        <w:pStyle w:val="Heading2"/>
        <w:spacing w:after="120" w:before="280"/>
      </w:pPr>
      <w:r>
        <w:t xml:space="preserve">6.4 Training</w:t>
      </w:r>
    </w:p>
    <w:p>
      <w:pPr>
        <w:spacing w:after="160" w:line="276"/>
      </w:pPr>
      <w:r>
        <w:rPr>
          <w:rFonts w:ascii="Calibri" w:cs="Calibri" w:eastAsia="Calibri" w:hAnsi="Calibri"/>
          <w:sz w:val="22"/>
          <w:szCs w:val="22"/>
        </w:rPr>
        <w:t xml:space="preserve">Identity-grouped split (no batsman, including augmented clones, appears in both train and held-out validation), with the grouping function's correctness against real multi-channel-source duplication explicitly verified as part of the evaluation protocol below — not assumed.</w:t>
      </w:r>
    </w:p>
    <w:p>
      <w:pPr>
        <w:pStyle w:val="Heading2"/>
        <w:spacing w:after="120" w:before="280"/>
      </w:pPr>
      <w:r>
        <w:t xml:space="preserve">6.5 Evaluation (unified protocol — replaces four inconsistent V1 protocols)</w:t>
      </w:r>
    </w:p>
    <w:p>
      <w:pPr>
        <w:pStyle w:val="ListParagraph"/>
        <w:numPr>
          <w:ilvl w:val="0"/>
          <w:numId w:val="2"/>
        </w:numPr>
        <w:spacing w:after="80" w:line="276"/>
      </w:pPr>
      <w:r>
        <w:rPr>
          <w:rFonts w:ascii="Calibri" w:cs="Calibri" w:eastAsia="Calibri" w:hAnsi="Calibri"/>
          <w:sz w:val="22"/>
          <w:szCs w:val="22"/>
        </w:rPr>
        <w:t xml:space="preserve">One shared, identity-grouped cross-validation split is used by every evaluation script. No script may define its own independent fold logic.</w:t>
      </w:r>
    </w:p>
    <w:p>
      <w:pPr>
        <w:pStyle w:val="ListParagraph"/>
        <w:numPr>
          <w:ilvl w:val="0"/>
          <w:numId w:val="2"/>
        </w:numPr>
        <w:spacing w:after="80" w:line="276"/>
      </w:pPr>
      <w:r>
        <w:rPr>
          <w:rFonts w:ascii="Calibri" w:cs="Calibri" w:eastAsia="Calibri" w:hAnsi="Calibri"/>
          <w:sz w:val="22"/>
          <w:szCs w:val="22"/>
        </w:rPr>
        <w:t xml:space="preserve">MAE and Spearman/Kendall rank correlation are both mandatory, co-primary metrics.</w:t>
      </w:r>
    </w:p>
    <w:p>
      <w:pPr>
        <w:pStyle w:val="ListParagraph"/>
        <w:numPr>
          <w:ilvl w:val="0"/>
          <w:numId w:val="2"/>
        </w:numPr>
        <w:spacing w:after="80" w:line="276"/>
      </w:pPr>
      <w:r>
        <w:rPr>
          <w:rFonts w:ascii="Calibri" w:cs="Calibri" w:eastAsia="Calibri" w:hAnsi="Calibri"/>
          <w:sz w:val="22"/>
          <w:szCs w:val="22"/>
        </w:rPr>
        <w:t xml:space="preserve">Paired significance testing (minimum: Wilcoxon signed-rank across folds) is mandatory for any comparative claim between architectures, losses, or model versions.</w:t>
      </w:r>
    </w:p>
    <w:p>
      <w:pPr>
        <w:pStyle w:val="ListParagraph"/>
        <w:numPr>
          <w:ilvl w:val="0"/>
          <w:numId w:val="2"/>
        </w:numPr>
        <w:spacing w:after="80" w:line="276"/>
      </w:pPr>
      <w:r>
        <w:rPr>
          <w:rFonts w:ascii="Calibri" w:cs="Calibri" w:eastAsia="Calibri" w:hAnsi="Calibri"/>
          <w:sz w:val="22"/>
          <w:szCs w:val="22"/>
        </w:rPr>
        <w:t xml:space="preserve">A trivial constant-mean baseline and, where feasible, an inter-annotator/label-noise-floor measurement are mandatory reference points for any reported accuracy figure.</w:t>
      </w:r>
    </w:p>
    <w:p>
      <w:pPr>
        <w:pStyle w:val="ListParagraph"/>
        <w:numPr>
          <w:ilvl w:val="0"/>
          <w:numId w:val="2"/>
        </w:numPr>
        <w:spacing w:after="80" w:line="276"/>
      </w:pPr>
      <w:r>
        <w:rPr>
          <w:rFonts w:ascii="Calibri" w:cs="Calibri" w:eastAsia="Calibri" w:hAnsi="Calibri"/>
          <w:sz w:val="22"/>
          <w:szCs w:val="22"/>
        </w:rPr>
        <w:t xml:space="preserve">Per-skill-level and per-shot-type MAE breakdown is mandatory in every evaluation report, not only the aggregate figure.</w:t>
      </w:r>
    </w:p>
    <w:p>
      <w:pPr>
        <w:pStyle w:val="Heading2"/>
        <w:spacing w:after="120" w:before="280"/>
      </w:pPr>
      <w:r>
        <w:t xml:space="preserve">6.6 Active Learning</w:t>
      </w:r>
    </w:p>
    <w:p>
      <w:pPr>
        <w:spacing w:after="160" w:line="276"/>
      </w:pPr>
      <w:r>
        <w:rPr>
          <w:rFonts w:ascii="Calibri" w:cs="Calibri" w:eastAsia="Calibri" w:hAnsi="Calibri"/>
          <w:sz w:val="22"/>
          <w:szCs w:val="22"/>
        </w:rPr>
        <w:t xml:space="preserve">The coach-override retraining loop is retained from V1 (subprocess retrain, load-validate, automatic rollback on failure — this was correctly engineered in V1 and is not being changed). Disagreement-Triggered prioritization is added: sessions where a coach's override disagrees with the model's own attribution diagnosis are upweighted preferentially over overrides that merely confirm the model's existing diagnosis.</w:t>
      </w:r>
    </w:p>
    <w:p>
      <w:pPr>
        <w:pStyle w:val="Heading1"/>
        <w:spacing w:after="160" w:before="360"/>
      </w:pPr>
      <w:r>
        <w:t xml:space="preserve">7. Inference Pipeline</w:t>
      </w:r>
    </w:p>
    <w:p>
      <w:pPr>
        <w:spacing w:after="160" w:line="276"/>
      </w:pPr>
      <w:r>
        <w:rPr>
          <w:rFonts w:ascii="Calibri" w:cs="Calibri" w:eastAsia="Calibri" w:hAnsi="Calibri"/>
          <w:sz w:val="22"/>
          <w:szCs w:val="22"/>
        </w:rPr>
        <w:t xml:space="preserve">Inference is asynchronous by design, in every deployment size from local development upward — this is a day-one architectural primitive, not a scale-triggered migration.</w:t>
      </w:r>
    </w:p>
    <w:p>
      <w:pPr>
        <w:pStyle w:val="ListParagraph"/>
        <w:numPr>
          <w:ilvl w:val="0"/>
          <w:numId w:val="2"/>
        </w:numPr>
        <w:spacing w:after="80" w:line="276"/>
      </w:pPr>
      <w:r>
        <w:rPr>
          <w:rFonts w:ascii="Calibri" w:cs="Calibri" w:eastAsia="Calibri" w:hAnsi="Calibri"/>
          <w:sz w:val="22"/>
          <w:szCs w:val="22"/>
        </w:rPr>
        <w:t xml:space="preserve">An upload request is accepted, the video is staged to short-TTL object storage (§8), and a task is enqueued. The request returns immediately with a job identifier — it never blocks on the ML pipeline.</w:t>
      </w:r>
    </w:p>
    <w:p>
      <w:pPr>
        <w:pStyle w:val="ListParagraph"/>
        <w:numPr>
          <w:ilvl w:val="0"/>
          <w:numId w:val="2"/>
        </w:numPr>
        <w:spacing w:after="80" w:line="276"/>
      </w:pPr>
      <w:r>
        <w:rPr>
          <w:rFonts w:ascii="Calibri" w:cs="Calibri" w:eastAsia="Calibri" w:hAnsi="Calibri"/>
          <w:sz w:val="22"/>
          <w:szCs w:val="22"/>
        </w:rPr>
        <w:t xml:space="preserve">A task queue (Redis-backed) and a worker pool (Celery) execute the actual pipeline: pose extraction, feature computation, model forward passes (including MC-Dropout and LOPO), Expected Gradients and counterfactual simulation, and the database write.</w:t>
      </w:r>
    </w:p>
    <w:p>
      <w:pPr>
        <w:pStyle w:val="ListParagraph"/>
        <w:numPr>
          <w:ilvl w:val="0"/>
          <w:numId w:val="2"/>
        </w:numPr>
        <w:spacing w:after="80" w:line="276"/>
      </w:pPr>
      <w:r>
        <w:rPr>
          <w:rFonts w:ascii="Calibri" w:cs="Calibri" w:eastAsia="Calibri" w:hAnsi="Calibri"/>
          <w:sz w:val="22"/>
          <w:szCs w:val="22"/>
        </w:rPr>
        <w:t xml:space="preserve">The Pre-Flight Capture Quality Gate runs synchronously, before enqueueing, on a lightweight heuristic pass (camera stability, framing, blur) — this is the one part of the pipeline permitted to respond in-request, precisely because it is cheap and exists to prevent expensive downstream work on unusable footage.</w:t>
      </w:r>
    </w:p>
    <w:p>
      <w:pPr>
        <w:pStyle w:val="ListParagraph"/>
        <w:numPr>
          <w:ilvl w:val="0"/>
          <w:numId w:val="2"/>
        </w:numPr>
        <w:spacing w:after="80" w:line="276"/>
      </w:pPr>
      <w:r>
        <w:rPr>
          <w:rFonts w:ascii="Calibri" w:cs="Calibri" w:eastAsia="Calibri" w:hAnsi="Calibri"/>
          <w:sz w:val="22"/>
          <w:szCs w:val="22"/>
        </w:rPr>
        <w:t xml:space="preserve">Worker capacity is a separately-scaled resource from the API tier — the two are never deployed as the same process pool, even at the smallest deployment size, so the scaling story does not require a later architectural rewrite.</w:t>
      </w:r>
    </w:p>
    <w:p>
      <w:pPr>
        <w:pStyle w:val="Heading1"/>
        <w:spacing w:after="160" w:before="360"/>
      </w:pPr>
      <w:r>
        <w:t xml:space="preserve">8. Storage &amp; Zero-Storage Enforcement</w:t>
      </w:r>
    </w:p>
    <w:p>
      <w:pPr>
        <w:spacing w:after="160" w:line="276"/>
      </w:pPr>
      <w:r>
        <w:rPr>
          <w:rFonts w:ascii="Calibri" w:cs="Calibri" w:eastAsia="Calibri" w:hAnsi="Calibri"/>
          <w:sz w:val="22"/>
          <w:szCs w:val="22"/>
        </w:rPr>
        <w:t xml:space="preserve">The zero-storage privacy guarantee is re-specified as an infrastructure property, not an application-code promise.</w:t>
      </w:r>
    </w:p>
    <w:p>
      <w:pPr>
        <w:pStyle w:val="ListParagraph"/>
        <w:numPr>
          <w:ilvl w:val="0"/>
          <w:numId w:val="2"/>
        </w:numPr>
        <w:spacing w:after="80" w:line="276"/>
      </w:pPr>
      <w:r>
        <w:rPr>
          <w:rFonts w:ascii="Calibri" w:cs="Calibri" w:eastAsia="Calibri" w:hAnsi="Calibri"/>
          <w:sz w:val="22"/>
          <w:szCs w:val="22"/>
        </w:rPr>
        <w:t xml:space="preserve">Uploaded video is written only to object storage with a short, automatically-enforced expiry policy (a TTL configured at the storage layer). No video is ever written to local application-server disk.</w:t>
      </w:r>
    </w:p>
    <w:p>
      <w:pPr>
        <w:pStyle w:val="ListParagraph"/>
        <w:numPr>
          <w:ilvl w:val="0"/>
          <w:numId w:val="2"/>
        </w:numPr>
        <w:spacing w:after="80" w:line="276"/>
      </w:pPr>
      <w:r>
        <w:rPr>
          <w:rFonts w:ascii="Calibri" w:cs="Calibri" w:eastAsia="Calibri" w:hAnsi="Calibri"/>
          <w:sz w:val="22"/>
          <w:szCs w:val="22"/>
        </w:rPr>
        <w:t xml:space="preserve">Application-level cleanup (deleting the object immediately after inference completes) remains in place as the fast path, but the system's actual privacy guarantee does not depend on it executing correctly — the storage-layer TTL is what holds even if a worker crashes mid-job.</w:t>
      </w:r>
    </w:p>
    <w:p>
      <w:pPr>
        <w:pStyle w:val="ListParagraph"/>
        <w:numPr>
          <w:ilvl w:val="0"/>
          <w:numId w:val="2"/>
        </w:numPr>
        <w:spacing w:after="80" w:line="276"/>
      </w:pPr>
      <w:r>
        <w:rPr>
          <w:rFonts w:ascii="Calibri" w:cs="Calibri" w:eastAsia="Calibri" w:hAnsi="Calibri"/>
          <w:sz w:val="22"/>
          <w:szCs w:val="22"/>
        </w:rPr>
        <w:t xml:space="preserve">No raw video is ever included in any log, error report, or database field.</w:t>
      </w:r>
    </w:p>
    <w:p>
      <w:r>
        <w:br w:type="page"/>
      </w:r>
    </w:p>
    <w:p>
      <w:pPr>
        <w:pStyle w:val="Heading1"/>
        <w:spacing w:after="160" w:before="360"/>
      </w:pPr>
      <w:r>
        <w:t xml:space="preserve">9. Deployment</w:t>
      </w:r>
    </w:p>
    <w:p>
      <w:pPr>
        <w:pStyle w:val="Heading2"/>
        <w:spacing w:after="120" w:before="280"/>
      </w:pPr>
      <w:r>
        <w:t xml:space="preserve">9.1 Containerization</w:t>
      </w:r>
    </w:p>
    <w:p>
      <w:pPr>
        <w:spacing w:after="160" w:line="276"/>
      </w:pPr>
      <w:r>
        <w:rPr>
          <w:rFonts w:ascii="Calibri" w:cs="Calibri" w:eastAsia="Calibri" w:hAnsi="Calibri"/>
          <w:sz w:val="22"/>
          <w:szCs w:val="22"/>
        </w:rPr>
        <w:t xml:space="preserve">Every backend component (API, worker, and their shared dependencies) is defined as a container image. This is mandatory from the first local-development environment onward — local development runs the same container definitions as production, not a divergent local-only setup.</w:t>
      </w:r>
    </w:p>
    <w:p>
      <w:pPr>
        <w:pStyle w:val="Heading2"/>
        <w:spacing w:after="120" w:before="280"/>
      </w:pPr>
      <w:r>
        <w:t xml:space="preserve">9.2 Composition</w:t>
      </w:r>
    </w:p>
    <w:p>
      <w:pPr>
        <w:spacing w:after="160" w:line="276"/>
      </w:pPr>
      <w:r>
        <w:rPr>
          <w:rFonts w:ascii="Calibri" w:cs="Calibri" w:eastAsia="Calibri" w:hAnsi="Calibri"/>
          <w:sz w:val="22"/>
          <w:szCs w:val="22"/>
        </w:rPr>
        <w:t xml:space="preserve">The minimum runnable environment is: one API service, one PostgreSQL instance, one Redis instance, one Celery worker, and the object storage backend. This is the smallest deployment that is architecturally identical in shape to the production target — scaling to multiple API instances, read replicas, or a larger worker pool is a capacity change, not a redesign.</w:t>
      </w:r>
    </w:p>
    <w:p>
      <w:pPr>
        <w:pStyle w:val="Heading2"/>
        <w:spacing w:after="120" w:before="280"/>
      </w:pPr>
      <w:r>
        <w:t xml:space="preserve">9.3 Configuration</w:t>
      </w:r>
    </w:p>
    <w:p>
      <w:pPr>
        <w:spacing w:after="160" w:line="276"/>
      </w:pPr>
      <w:r>
        <w:rPr>
          <w:rFonts w:ascii="Calibri" w:cs="Calibri" w:eastAsia="Calibri" w:hAnsi="Calibri"/>
          <w:sz w:val="22"/>
          <w:szCs w:val="22"/>
        </w:rPr>
        <w:t xml:space="preserve">All configuration (secrets, database/broker URLs, storage credentials) is environment-driven with no hardcoded fallback values anywhere in source — this rule, already correctly established for the Django secret key in V1, is extended to every configuration value without exception.</w:t>
      </w:r>
    </w:p>
    <w:p>
      <w:pPr>
        <w:pStyle w:val="Heading2"/>
        <w:spacing w:after="120" w:before="280"/>
      </w:pPr>
      <w:r>
        <w:t xml:space="preserve">9.4 CI/CD</w:t>
      </w:r>
    </w:p>
    <w:p>
      <w:pPr>
        <w:spacing w:after="160" w:line="276"/>
      </w:pPr>
      <w:r>
        <w:rPr>
          <w:rFonts w:ascii="Calibri" w:cs="Calibri" w:eastAsia="Calibri" w:hAnsi="Calibri"/>
          <w:sz w:val="22"/>
          <w:szCs w:val="22"/>
        </w:rPr>
        <w:t xml:space="preserve">No change reaches any deployed environment without passing an automated pipeline that runs, at minimum: linting, the full test suite (§11), a production build (frontend and backend), and the pre-commit secret-scanning check that currently runs only locally and optionally. A failing pipeline blocks the merge; there is no manual override path.</w:t>
      </w:r>
    </w:p>
    <w:p>
      <w:pPr>
        <w:pStyle w:val="Heading2"/>
        <w:spacing w:after="120" w:before="280"/>
      </w:pPr>
      <w:r>
        <w:t xml:space="preserve">9.5 Observability in Production</w:t>
      </w:r>
    </w:p>
    <w:p>
      <w:pPr>
        <w:spacing w:after="160" w:line="276"/>
      </w:pPr>
      <w:r>
        <w:rPr>
          <w:rFonts w:ascii="Calibri" w:cs="Calibri" w:eastAsia="Calibri" w:hAnsi="Calibri"/>
          <w:sz w:val="22"/>
          <w:szCs w:val="22"/>
        </w:rPr>
        <w:t xml:space="preserve">Structured, centralized logging and a monitoring/alerting layer covering queue depth, worker utilization, database health, and inference latency are mandatory before any environment is considered production, not optional hardening added after launch.</w:t>
      </w:r>
    </w:p>
    <w:p>
      <w:pPr>
        <w:pStyle w:val="Heading1"/>
        <w:spacing w:after="160" w:before="360"/>
      </w:pPr>
      <w:r>
        <w:t xml:space="preserve">10. Security</w:t>
      </w:r>
    </w:p>
    <w:p>
      <w:pPr>
        <w:pStyle w:val="Heading2"/>
        <w:spacing w:after="120" w:before="280"/>
      </w:pPr>
      <w:r>
        <w:t xml:space="preserve">10.1 Secrets &amp; Configuration</w:t>
      </w:r>
    </w:p>
    <w:p>
      <w:pPr>
        <w:spacing w:after="160" w:line="276"/>
      </w:pPr>
      <w:r>
        <w:rPr>
          <w:rFonts w:ascii="Calibri" w:cs="Calibri" w:eastAsia="Calibri" w:hAnsi="Calibri"/>
          <w:sz w:val="22"/>
          <w:szCs w:val="22"/>
        </w:rPr>
        <w:t xml:space="preserve">No secret or credential is ever committed to version control. Pre-commit secret scanning (gitleaks, already in place) is mandatory, CI-enforced, and cannot be bypassed.</w:t>
      </w:r>
    </w:p>
    <w:p>
      <w:pPr>
        <w:pStyle w:val="Heading2"/>
        <w:spacing w:after="120" w:before="280"/>
      </w:pPr>
      <w:r>
        <w:t xml:space="preserve">10.2 Access Control</w:t>
      </w:r>
    </w:p>
    <w:p>
      <w:pPr>
        <w:spacing w:after="160" w:line="276"/>
      </w:pPr>
      <w:r>
        <w:rPr>
          <w:rFonts w:ascii="Calibri" w:cs="Calibri" w:eastAsia="Calibri" w:hAnsi="Calibri"/>
          <w:sz w:val="22"/>
          <w:szCs w:val="22"/>
        </w:rPr>
        <w:t xml:space="preserve">Global default-deny permission (§2.1) plus explicit per-role ORM-level query scoping (retained from V1, which was correctly implemented there) together form the access-control baseline. Every new endpoint is reviewed against both before merge.</w:t>
      </w:r>
    </w:p>
    <w:p>
      <w:pPr>
        <w:pStyle w:val="Heading2"/>
        <w:spacing w:after="120" w:before="280"/>
      </w:pPr>
      <w:r>
        <w:t xml:space="preserve">10.3 Coach Verification</w:t>
      </w:r>
    </w:p>
    <w:p>
      <w:pPr>
        <w:spacing w:after="160" w:line="276"/>
      </w:pPr>
      <w:r>
        <w:rPr>
          <w:rFonts w:ascii="Calibri" w:cs="Calibri" w:eastAsia="Calibri" w:hAnsi="Calibri"/>
          <w:sz w:val="22"/>
          <w:szCs w:val="22"/>
        </w:rPr>
        <w:t xml:space="preserve">A CoachApplication record is created automatically at coach signup. A coach account is functional but read-only-on-self until an application is approved through a dedicated, minimal admin review surface (not Django's built-in admin, consistent with the project's earlier, explicit choice to build a custom lightweight admin surface) — this closes the V1 gap where any signup claiming the coach role received full, immediate privileges.</w:t>
      </w:r>
    </w:p>
    <w:p>
      <w:pPr>
        <w:pStyle w:val="Heading2"/>
        <w:spacing w:after="120" w:before="280"/>
      </w:pPr>
      <w:r>
        <w:t xml:space="preserve">10.4 Data Exposure</w:t>
      </w:r>
    </w:p>
    <w:p>
      <w:pPr>
        <w:spacing w:after="160" w:line="276"/>
      </w:pPr>
      <w:r>
        <w:rPr>
          <w:rFonts w:ascii="Calibri" w:cs="Calibri" w:eastAsia="Calibri" w:hAnsi="Calibri"/>
          <w:sz w:val="22"/>
          <w:szCs w:val="22"/>
        </w:rPr>
        <w:t xml:space="preserve">Field-level serializer control (§2.3) and mandatory pagination (§2.4) together prevent both the unbounded-payload and the accidental-field-exposure classes of risk identified in the V1 audit.</w:t>
      </w:r>
    </w:p>
    <w:p>
      <w:pPr>
        <w:pStyle w:val="Heading1"/>
        <w:spacing w:after="160" w:before="360"/>
      </w:pPr>
      <w:r>
        <w:t xml:space="preserve">11. Testing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500"/>
      </w:tblGrid>
      <w:tr>
        <w:trPr>
          <w:tblHeader/>
        </w:trPr>
        <w:tc>
          <w:tcPr>
            <w:tcW w:type="dxa" w:w="1700"/>
            <w:shd w:fill="1F3B57" w:val="clear"/>
            <w:tcMar>
              <w:top w:type="dxa" w:w="80"/>
              <w:left w:type="dxa" w:w="120"/>
              <w:bottom w:type="dxa" w:w="80"/>
              <w:right w:type="dxa" w:w="120"/>
            </w:tcMar>
          </w:tcPr>
          <w:p>
            <w:r>
              <w:rPr>
                <w:rFonts w:ascii="Calibri" w:cs="Calibri" w:eastAsia="Calibri" w:hAnsi="Calibri"/>
                <w:b/>
                <w:bCs/>
                <w:color w:val="FFFFFF"/>
                <w:sz w:val="19"/>
                <w:szCs w:val="19"/>
              </w:rPr>
              <w:t xml:space="preserve">Layer</w:t>
            </w:r>
          </w:p>
        </w:tc>
        <w:tc>
          <w:tcPr>
            <w:tcW w:type="dxa" w:w="3300"/>
            <w:shd w:fill="1F3B57" w:val="clear"/>
            <w:tcMar>
              <w:top w:type="dxa" w:w="80"/>
              <w:left w:type="dxa" w:w="120"/>
              <w:bottom w:type="dxa" w:w="80"/>
              <w:right w:type="dxa" w:w="120"/>
            </w:tcMar>
          </w:tcPr>
          <w:p>
            <w:r>
              <w:rPr>
                <w:rFonts w:ascii="Calibri" w:cs="Calibri" w:eastAsia="Calibri" w:hAnsi="Calibri"/>
                <w:b/>
                <w:bCs/>
                <w:color w:val="FFFFFF"/>
                <w:sz w:val="19"/>
                <w:szCs w:val="19"/>
              </w:rPr>
              <w:t xml:space="preserve">Framework</w:t>
            </w:r>
          </w:p>
        </w:tc>
        <w:tc>
          <w:tcPr>
            <w:tcW w:type="dxa" w:w="4500"/>
            <w:shd w:fill="1F3B57" w:val="clear"/>
            <w:tcMar>
              <w:top w:type="dxa" w:w="80"/>
              <w:left w:type="dxa" w:w="120"/>
              <w:bottom w:type="dxa" w:w="80"/>
              <w:right w:type="dxa" w:w="120"/>
            </w:tcMar>
          </w:tcPr>
          <w:p>
            <w:r>
              <w:rPr>
                <w:rFonts w:ascii="Calibri" w:cs="Calibri" w:eastAsia="Calibri" w:hAnsi="Calibri"/>
                <w:b/>
                <w:bCs/>
                <w:color w:val="FFFFFF"/>
                <w:sz w:val="19"/>
                <w:szCs w:val="19"/>
              </w:rPr>
              <w:t xml:space="preserve">Mandatory coverage</w:t>
            </w:r>
          </w:p>
        </w:tc>
      </w:tr>
      <w:tr>
        <w:tc>
          <w:tcPr>
            <w:tcW w:type="dxa" w:w="1700"/>
            <w:tcMar>
              <w:top w:type="dxa" w:w="80"/>
              <w:left w:type="dxa" w:w="120"/>
              <w:bottom w:type="dxa" w:w="80"/>
              <w:right w:type="dxa" w:w="120"/>
            </w:tcMar>
          </w:tcPr>
          <w:p>
            <w:r>
              <w:rPr>
                <w:rFonts w:ascii="Calibri" w:cs="Calibri" w:eastAsia="Calibri" w:hAnsi="Calibri"/>
                <w:b w:val="false"/>
                <w:bCs w:val="false"/>
                <w:color w:val="000000"/>
                <w:sz w:val="19"/>
                <w:szCs w:val="19"/>
              </w:rPr>
              <w:t xml:space="preserve">Backend</w:t>
            </w:r>
          </w:p>
        </w:tc>
        <w:tc>
          <w:tcPr>
            <w:tcW w:type="dxa" w:w="3300"/>
            <w:tcMar>
              <w:top w:type="dxa" w:w="80"/>
              <w:left w:type="dxa" w:w="120"/>
              <w:bottom w:type="dxa" w:w="80"/>
              <w:right w:type="dxa" w:w="120"/>
            </w:tcMar>
          </w:tcPr>
          <w:p>
            <w:r>
              <w:rPr>
                <w:rFonts w:ascii="Calibri" w:cs="Calibri" w:eastAsia="Calibri" w:hAnsi="Calibri"/>
                <w:b w:val="false"/>
                <w:bCs w:val="false"/>
                <w:color w:val="000000"/>
                <w:sz w:val="19"/>
                <w:szCs w:val="19"/>
              </w:rPr>
              <w:t xml:space="preserve">Django test runner / pytest</w:t>
            </w:r>
          </w:p>
        </w:tc>
        <w:tc>
          <w:tcPr>
            <w:tcW w:type="dxa" w:w="4500"/>
            <w:tcMar>
              <w:top w:type="dxa" w:w="80"/>
              <w:left w:type="dxa" w:w="120"/>
              <w:bottom w:type="dxa" w:w="80"/>
              <w:right w:type="dxa" w:w="120"/>
            </w:tcMar>
          </w:tcPr>
          <w:p>
            <w:r>
              <w:rPr>
                <w:rFonts w:ascii="Calibri" w:cs="Calibri" w:eastAsia="Calibri" w:hAnsi="Calibri"/>
                <w:b w:val="false"/>
                <w:bCs w:val="false"/>
                <w:color w:val="000000"/>
                <w:sz w:val="19"/>
                <w:szCs w:val="19"/>
              </w:rPr>
              <w:t xml:space="preserve">Every authentication and permission boundary; the inference fallback path; the coach-override and verification workflows.</w:t>
            </w:r>
          </w:p>
        </w:tc>
      </w:tr>
      <w:tr>
        <w:tc>
          <w:tcPr>
            <w:tcW w:type="dxa" w:w="1700"/>
            <w:tcMar>
              <w:top w:type="dxa" w:w="80"/>
              <w:left w:type="dxa" w:w="120"/>
              <w:bottom w:type="dxa" w:w="80"/>
              <w:right w:type="dxa" w:w="120"/>
            </w:tcMar>
          </w:tcPr>
          <w:p>
            <w:r>
              <w:rPr>
                <w:rFonts w:ascii="Calibri" w:cs="Calibri" w:eastAsia="Calibri" w:hAnsi="Calibri"/>
                <w:b w:val="false"/>
                <w:bCs w:val="false"/>
                <w:color w:val="000000"/>
                <w:sz w:val="19"/>
                <w:szCs w:val="19"/>
              </w:rPr>
              <w:t xml:space="preserve">ML pipeline</w:t>
            </w:r>
          </w:p>
        </w:tc>
        <w:tc>
          <w:tcPr>
            <w:tcW w:type="dxa" w:w="3300"/>
            <w:tcMar>
              <w:top w:type="dxa" w:w="80"/>
              <w:left w:type="dxa" w:w="120"/>
              <w:bottom w:type="dxa" w:w="80"/>
              <w:right w:type="dxa" w:w="120"/>
            </w:tcMar>
          </w:tcPr>
          <w:p>
            <w:r>
              <w:rPr>
                <w:rFonts w:ascii="Calibri" w:cs="Calibri" w:eastAsia="Calibri" w:hAnsi="Calibri"/>
                <w:b w:val="false"/>
                <w:bCs w:val="false"/>
                <w:color w:val="000000"/>
                <w:sz w:val="19"/>
                <w:szCs w:val="19"/>
              </w:rPr>
              <w:t xml:space="preserve">unittest (the existing test_pipeline_logic.py pattern, extended)</w:t>
            </w:r>
          </w:p>
        </w:tc>
        <w:tc>
          <w:tcPr>
            <w:tcW w:type="dxa" w:w="4500"/>
            <w:tcMar>
              <w:top w:type="dxa" w:w="80"/>
              <w:left w:type="dxa" w:w="120"/>
              <w:bottom w:type="dxa" w:w="80"/>
              <w:right w:type="dxa" w:w="120"/>
            </w:tcMar>
          </w:tcPr>
          <w:p>
            <w:r>
              <w:rPr>
                <w:rFonts w:ascii="Calibri" w:cs="Calibri" w:eastAsia="Calibri" w:hAnsi="Calibri"/>
                <w:b w:val="false"/>
                <w:bCs w:val="false"/>
                <w:color w:val="000000"/>
                <w:sz w:val="19"/>
                <w:szCs w:val="19"/>
              </w:rPr>
              <w:t xml:space="preserve">Kinematic validation (both filters), interpolation rules, and the confidence-gating logic feeding the attention layer — every new pipeline stage ships with tests in the same change that introduces it.</w:t>
            </w:r>
          </w:p>
        </w:tc>
      </w:tr>
      <w:tr>
        <w:tc>
          <w:tcPr>
            <w:tcW w:type="dxa" w:w="1700"/>
            <w:tcMar>
              <w:top w:type="dxa" w:w="80"/>
              <w:left w:type="dxa" w:w="120"/>
              <w:bottom w:type="dxa" w:w="80"/>
              <w:right w:type="dxa" w:w="120"/>
            </w:tcMar>
          </w:tcPr>
          <w:p>
            <w:r>
              <w:rPr>
                <w:rFonts w:ascii="Calibri" w:cs="Calibri" w:eastAsia="Calibri" w:hAnsi="Calibri"/>
                <w:b w:val="false"/>
                <w:bCs w:val="false"/>
                <w:color w:val="000000"/>
                <w:sz w:val="19"/>
                <w:szCs w:val="19"/>
              </w:rPr>
              <w:t xml:space="preserve">Frontend</w:t>
            </w:r>
          </w:p>
        </w:tc>
        <w:tc>
          <w:tcPr>
            <w:tcW w:type="dxa" w:w="3300"/>
            <w:tcMar>
              <w:top w:type="dxa" w:w="80"/>
              <w:left w:type="dxa" w:w="120"/>
              <w:bottom w:type="dxa" w:w="80"/>
              <w:right w:type="dxa" w:w="120"/>
            </w:tcMar>
          </w:tcPr>
          <w:p>
            <w:r>
              <w:rPr>
                <w:rFonts w:ascii="Calibri" w:cs="Calibri" w:eastAsia="Calibri" w:hAnsi="Calibri"/>
                <w:b w:val="false"/>
                <w:bCs w:val="false"/>
                <w:color w:val="000000"/>
                <w:sz w:val="19"/>
                <w:szCs w:val="19"/>
              </w:rPr>
              <w:t xml:space="preserve">Vitest + React Testing Library</w:t>
            </w:r>
          </w:p>
        </w:tc>
        <w:tc>
          <w:tcPr>
            <w:tcW w:type="dxa" w:w="4500"/>
            <w:tcMar>
              <w:top w:type="dxa" w:w="80"/>
              <w:left w:type="dxa" w:w="120"/>
              <w:bottom w:type="dxa" w:w="80"/>
              <w:right w:type="dxa" w:w="120"/>
            </w:tcMar>
          </w:tcPr>
          <w:p>
            <w:r>
              <w:rPr>
                <w:rFonts w:ascii="Calibri" w:cs="Calibri" w:eastAsia="Calibri" w:hAnsi="Calibri"/>
                <w:b w:val="false"/>
                <w:bCs w:val="false"/>
                <w:color w:val="000000"/>
                <w:sz w:val="19"/>
                <w:szCs w:val="19"/>
              </w:rPr>
              <w:t xml:space="preserve">Authentication flows; score-display and explainability-result rendering.</w:t>
            </w:r>
          </w:p>
        </w:tc>
      </w:tr>
      <w:tr>
        <w:tc>
          <w:tcPr>
            <w:tcW w:type="dxa" w:w="1700"/>
            <w:tcMar>
              <w:top w:type="dxa" w:w="80"/>
              <w:left w:type="dxa" w:w="120"/>
              <w:bottom w:type="dxa" w:w="80"/>
              <w:right w:type="dxa" w:w="120"/>
            </w:tcMar>
          </w:tcPr>
          <w:p>
            <w:r>
              <w:rPr>
                <w:rFonts w:ascii="Calibri" w:cs="Calibri" w:eastAsia="Calibri" w:hAnsi="Calibri"/>
                <w:b w:val="false"/>
                <w:bCs w:val="false"/>
                <w:color w:val="000000"/>
                <w:sz w:val="19"/>
                <w:szCs w:val="19"/>
              </w:rPr>
              <w:t xml:space="preserve">Evaluation</w:t>
            </w:r>
          </w:p>
        </w:tc>
        <w:tc>
          <w:tcPr>
            <w:tcW w:type="dxa" w:w="3300"/>
            <w:tcMar>
              <w:top w:type="dxa" w:w="80"/>
              <w:left w:type="dxa" w:w="120"/>
              <w:bottom w:type="dxa" w:w="80"/>
              <w:right w:type="dxa" w:w="120"/>
            </w:tcMar>
          </w:tcPr>
          <w:p>
            <w:r>
              <w:rPr>
                <w:rFonts w:ascii="Calibri" w:cs="Calibri" w:eastAsia="Calibri" w:hAnsi="Calibri"/>
                <w:b w:val="false"/>
                <w:bCs w:val="false"/>
                <w:color w:val="000000"/>
                <w:sz w:val="19"/>
                <w:szCs w:val="19"/>
              </w:rPr>
              <w:t xml:space="preserve">The unified protocol itself (§6.5)</w:t>
            </w:r>
          </w:p>
        </w:tc>
        <w:tc>
          <w:tcPr>
            <w:tcW w:type="dxa" w:w="4500"/>
            <w:tcMar>
              <w:top w:type="dxa" w:w="80"/>
              <w:left w:type="dxa" w:w="120"/>
              <w:bottom w:type="dxa" w:w="80"/>
              <w:right w:type="dxa" w:w="120"/>
            </w:tcMar>
          </w:tcPr>
          <w:p>
            <w:r>
              <w:rPr>
                <w:rFonts w:ascii="Calibri" w:cs="Calibri" w:eastAsia="Calibri" w:hAnsi="Calibri"/>
                <w:b w:val="false"/>
                <w:bCs w:val="false"/>
                <w:color w:val="000000"/>
                <w:sz w:val="19"/>
                <w:szCs w:val="19"/>
              </w:rPr>
              <w:t xml:space="preserve">Not a test suite in the software sense, but held to the same non-negotiable standard: no reported metric ships without the paired significance test and calibration check behind it.</w:t>
            </w:r>
          </w:p>
        </w:tc>
      </w:tr>
    </w:tbl>
    <w:p>
      <w:pPr>
        <w:spacing w:after="160" w:line="276"/>
      </w:pPr>
      <w:r>
        <w:rPr>
          <w:rFonts w:ascii="Calibri" w:cs="Calibri" w:eastAsia="Calibri" w:hAnsi="Calibri"/>
          <w:sz w:val="22"/>
          <w:szCs w:val="22"/>
        </w:rPr>
        <w:t xml:space="preserve">A pull request that reduces coverage in any of the above categories, or that introduces a new pipeline stage without a corresponding test, does not merge — enforced by the CI gate in §9.4.</w:t>
      </w:r>
    </w:p>
    <w:p>
      <w:pPr>
        <w:pStyle w:val="Heading1"/>
        <w:spacing w:after="160" w:before="360"/>
      </w:pPr>
      <w:r>
        <w:t xml:space="preserve">12. Coding Standards</w:t>
      </w:r>
    </w:p>
    <w:p>
      <w:pPr>
        <w:pStyle w:val="Heading2"/>
        <w:spacing w:after="120" w:before="280"/>
      </w:pPr>
      <w:r>
        <w:t xml:space="preserve">12.1 Single Source of Truth</w:t>
      </w:r>
    </w:p>
    <w:p>
      <w:pPr>
        <w:spacing w:after="160" w:line="276"/>
      </w:pPr>
      <w:r>
        <w:rPr>
          <w:rFonts w:ascii="Calibri" w:cs="Calibri" w:eastAsia="Calibri" w:hAnsi="Calibri"/>
          <w:sz w:val="22"/>
          <w:szCs w:val="22"/>
        </w:rPr>
        <w:t xml:space="preserve">The single largest technical-debt finding from the V1 audit — the same feature schema and the same custom attention layer independently redefined across many files — is now a hard rule, not a suggestion: the feature schema (SEQ_LEN, the 30-feature list) and the TemporalAttention layer are each defined in exactly one module. Every other file that needs them imports that module. A pull request that redefines either independently is rejected.</w:t>
      </w:r>
    </w:p>
    <w:p>
      <w:pPr>
        <w:pStyle w:val="Heading2"/>
        <w:spacing w:after="120" w:before="280"/>
      </w:pPr>
      <w:r>
        <w:t xml:space="preserve">12.2 No Duplicate Implementations</w:t>
      </w:r>
    </w:p>
    <w:p>
      <w:pPr>
        <w:spacing w:after="160" w:line="276"/>
      </w:pPr>
      <w:r>
        <w:rPr>
          <w:rFonts w:ascii="Calibri" w:cs="Calibri" w:eastAsia="Calibri" w:hAnsi="Calibri"/>
          <w:sz w:val="22"/>
          <w:szCs w:val="22"/>
        </w:rPr>
        <w:t xml:space="preserve">Extending the same rule to the frontend (§3.2) and to the inference path generally: there is exactly one production inference implementation. A second, separately-maintained inference path (as existed in V1 between the Django backend and the standalone research tool) is prohibited going forward — a research/experimentation tool, if one is needed, must call the same shared inference module the production API uses, not reimplement it.</w:t>
      </w:r>
    </w:p>
    <w:p>
      <w:pPr>
        <w:pStyle w:val="Heading2"/>
        <w:spacing w:after="120" w:before="280"/>
      </w:pPr>
      <w:r>
        <w:t xml:space="preserve">12.3 Documentation Currency</w:t>
      </w:r>
    </w:p>
    <w:p>
      <w:pPr>
        <w:spacing w:after="160" w:line="276"/>
      </w:pPr>
      <w:r>
        <w:rPr>
          <w:rFonts w:ascii="Calibri" w:cs="Calibri" w:eastAsia="Calibri" w:hAnsi="Calibri"/>
          <w:sz w:val="22"/>
          <w:szCs w:val="22"/>
        </w:rPr>
        <w:t xml:space="preserve">Any change to a pipeline stage's behavior is accompanied, in the same change set, by an update to whatever documentation describes that stage. A README describing a superseded or dead script as a live pipeline step (as found in the V1 audit) is a defect, treated with the same severity as a failing test.</w:t>
      </w:r>
    </w:p>
    <w:p>
      <w:pPr>
        <w:pStyle w:val="Heading2"/>
        <w:spacing w:after="120" w:before="280"/>
      </w:pPr>
      <w:r>
        <w:t xml:space="preserve">12.4 Type Safety</w:t>
      </w:r>
    </w:p>
    <w:p>
      <w:pPr>
        <w:spacing w:after="160" w:line="276"/>
      </w:pPr>
      <w:r>
        <w:rPr>
          <w:rFonts w:ascii="Calibri" w:cs="Calibri" w:eastAsia="Calibri" w:hAnsi="Calibri"/>
          <w:sz w:val="22"/>
          <w:szCs w:val="22"/>
        </w:rPr>
        <w:t xml:space="preserve">TypeScript strict mode applies to 100% of frontend source, with no file-extension carve-out (§3.1). Python code follows explicit type hints on all new public function signatures in the backend and ML pipeline.</w:t>
      </w:r>
    </w:p>
    <w:p>
      <w:r>
        <w:br w:type="page"/>
      </w:r>
    </w:p>
    <w:p>
      <w:pPr>
        <w:pStyle w:val="Heading1"/>
        <w:spacing w:after="160" w:before="360"/>
      </w:pPr>
      <w:r>
        <w:t xml:space="preserve">13. Folder Structure</w:t>
      </w:r>
    </w:p>
    <w:p>
      <w:pPr>
        <w:spacing w:after="160" w:line="276"/>
      </w:pPr>
      <w:r>
        <w:rPr>
          <w:rFonts w:ascii="Calibri" w:cs="Calibri" w:eastAsia="Calibri" w:hAnsi="Calibri"/>
          <w:sz w:val="22"/>
          <w:szCs w:val="22"/>
        </w:rPr>
        <w:t xml:space="preserve">Top-level layout. Each top-level directory maps to exactly one of the deployable/runnable units described in this specification — there is no directory whose contents span multiple architectural layers.</w:t>
      </w:r>
    </w:p>
    <w:p>
      <w:pPr>
        <w:spacing w:after="40" w:line="260"/>
        <w:ind w:left="260"/>
      </w:pPr>
      <w:r>
        <w:rPr>
          <w:rFonts w:ascii="Consolas" w:cs="Consolas" w:eastAsia="Consolas" w:hAnsi="Consolas"/>
          <w:sz w:val="20"/>
          <w:szCs w:val="20"/>
        </w:rPr>
        <w:t xml:space="preserve">backend/</w:t>
      </w:r>
    </w:p>
    <w:p>
      <w:pPr>
        <w:spacing w:after="40" w:line="260"/>
        <w:ind w:left="580"/>
      </w:pPr>
      <w:r>
        <w:rPr>
          <w:rFonts w:ascii="Consolas" w:cs="Consolas" w:eastAsia="Consolas" w:hAnsi="Consolas"/>
          <w:sz w:val="20"/>
          <w:szCs w:val="20"/>
        </w:rPr>
        <w:t xml:space="preserve">api/  — Django app: models, views, serializers, URL routing, permissions</w:t>
      </w:r>
    </w:p>
    <w:p>
      <w:pPr>
        <w:spacing w:after="40" w:line="260"/>
        <w:ind w:left="580"/>
      </w:pPr>
      <w:r>
        <w:rPr>
          <w:rFonts w:ascii="Consolas" w:cs="Consolas" w:eastAsia="Consolas" w:hAnsi="Consolas"/>
          <w:sz w:val="20"/>
          <w:szCs w:val="20"/>
        </w:rPr>
        <w:t xml:space="preserve">ml/  — the single, shared inference module (feature extraction, model loading, Expected Gradients, counterfactual simulation, LOPO) — imported by the API and by any research/experimentation tooling; no second copy anywhere</w:t>
      </w:r>
    </w:p>
    <w:p>
      <w:pPr>
        <w:spacing w:after="40" w:line="260"/>
        <w:ind w:left="580"/>
      </w:pPr>
      <w:r>
        <w:rPr>
          <w:rFonts w:ascii="Consolas" w:cs="Consolas" w:eastAsia="Consolas" w:hAnsi="Consolas"/>
          <w:sz w:val="20"/>
          <w:szCs w:val="20"/>
        </w:rPr>
        <w:t xml:space="preserve">workers/  — Celery task definitions that call into ml/</w:t>
      </w:r>
    </w:p>
    <w:p>
      <w:pPr>
        <w:spacing w:after="40" w:line="260"/>
        <w:ind w:left="580"/>
      </w:pPr>
      <w:r>
        <w:rPr>
          <w:rFonts w:ascii="Consolas" w:cs="Consolas" w:eastAsia="Consolas" w:hAnsi="Consolas"/>
          <w:sz w:val="20"/>
          <w:szCs w:val="20"/>
        </w:rPr>
        <w:t xml:space="preserve">tests/  — backend and ML pipeline test suites (§11)</w:t>
      </w:r>
    </w:p>
    <w:p>
      <w:pPr>
        <w:spacing w:after="40" w:line="260"/>
        <w:ind w:left="260"/>
      </w:pPr>
      <w:r>
        <w:rPr>
          <w:rFonts w:ascii="Consolas" w:cs="Consolas" w:eastAsia="Consolas" w:hAnsi="Consolas"/>
          <w:sz w:val="20"/>
          <w:szCs w:val="20"/>
        </w:rPr>
        <w:t xml:space="preserve">frontend/</w:t>
      </w:r>
    </w:p>
    <w:p>
      <w:pPr>
        <w:spacing w:after="40" w:line="260"/>
        <w:ind w:left="580"/>
      </w:pPr>
      <w:r>
        <w:rPr>
          <w:rFonts w:ascii="Consolas" w:cs="Consolas" w:eastAsia="Consolas" w:hAnsi="Consolas"/>
          <w:sz w:val="20"/>
          <w:szCs w:val="20"/>
        </w:rPr>
        <w:t xml:space="preserve">src/routes/  — one file per top-level route, .tsx only</w:t>
      </w:r>
    </w:p>
    <w:p>
      <w:pPr>
        <w:spacing w:after="40" w:line="260"/>
        <w:ind w:left="580"/>
      </w:pPr>
      <w:r>
        <w:rPr>
          <w:rFonts w:ascii="Consolas" w:cs="Consolas" w:eastAsia="Consolas" w:hAnsi="Consolas"/>
          <w:sz w:val="20"/>
          <w:szCs w:val="20"/>
        </w:rPr>
        <w:t xml:space="preserve">src/components/  — one implementation per component, .tsx only, no duplicate extension sets</w:t>
      </w:r>
    </w:p>
    <w:p>
      <w:pPr>
        <w:spacing w:after="40" w:line="260"/>
        <w:ind w:left="580"/>
      </w:pPr>
      <w:r>
        <w:rPr>
          <w:rFonts w:ascii="Consolas" w:cs="Consolas" w:eastAsia="Consolas" w:hAnsi="Consolas"/>
          <w:sz w:val="20"/>
          <w:szCs w:val="20"/>
        </w:rPr>
        <w:t xml:space="preserve">src/lib/  — API client, shared utilities</w:t>
      </w:r>
    </w:p>
    <w:p>
      <w:pPr>
        <w:spacing w:after="40" w:line="260"/>
        <w:ind w:left="580"/>
      </w:pPr>
      <w:r>
        <w:rPr>
          <w:rFonts w:ascii="Consolas" w:cs="Consolas" w:eastAsia="Consolas" w:hAnsi="Consolas"/>
          <w:sz w:val="20"/>
          <w:szCs w:val="20"/>
        </w:rPr>
        <w:t xml:space="preserve">src/tests/  — Vitest suites (§11)</w:t>
      </w:r>
    </w:p>
    <w:p>
      <w:pPr>
        <w:spacing w:after="40" w:line="260"/>
        <w:ind w:left="260"/>
      </w:pPr>
      <w:r>
        <w:rPr>
          <w:rFonts w:ascii="Consolas" w:cs="Consolas" w:eastAsia="Consolas" w:hAnsi="Consolas"/>
          <w:sz w:val="20"/>
          <w:szCs w:val="20"/>
        </w:rPr>
        <w:t xml:space="preserve">dataset_pipeline/</w:t>
      </w:r>
    </w:p>
    <w:p>
      <w:pPr>
        <w:spacing w:after="40" w:line="260"/>
        <w:ind w:left="580"/>
      </w:pPr>
      <w:r>
        <w:rPr>
          <w:rFonts w:ascii="Consolas" w:cs="Consolas" w:eastAsia="Consolas" w:hAnsi="Consolas"/>
          <w:sz w:val="20"/>
          <w:szCs w:val="20"/>
        </w:rPr>
        <w:t xml:space="preserve">ingestion/  — video sourcing, shot detection, labeling</w:t>
      </w:r>
    </w:p>
    <w:p>
      <w:pPr>
        <w:spacing w:after="40" w:line="260"/>
        <w:ind w:left="580"/>
      </w:pPr>
      <w:r>
        <w:rPr>
          <w:rFonts w:ascii="Consolas" w:cs="Consolas" w:eastAsia="Consolas" w:hAnsi="Consolas"/>
          <w:sz w:val="20"/>
          <w:szCs w:val="20"/>
        </w:rPr>
        <w:t xml:space="preserve">validation/  — kinematic validation (both filters, §6.2)</w:t>
      </w:r>
    </w:p>
    <w:p>
      <w:pPr>
        <w:spacing w:after="40" w:line="260"/>
        <w:ind w:left="580"/>
      </w:pPr>
      <w:r>
        <w:rPr>
          <w:rFonts w:ascii="Consolas" w:cs="Consolas" w:eastAsia="Consolas" w:hAnsi="Consolas"/>
          <w:sz w:val="20"/>
          <w:szCs w:val="20"/>
        </w:rPr>
        <w:t xml:space="preserve">feature_engineering/  — imports schema/ , does not redefine it</w:t>
      </w:r>
    </w:p>
    <w:p>
      <w:pPr>
        <w:spacing w:after="40" w:line="260"/>
        <w:ind w:left="580"/>
      </w:pPr>
      <w:r>
        <w:rPr>
          <w:rFonts w:ascii="Consolas" w:cs="Consolas" w:eastAsia="Consolas" w:hAnsi="Consolas"/>
          <w:sz w:val="20"/>
          <w:szCs w:val="20"/>
        </w:rPr>
        <w:t xml:space="preserve">schema/  — the single source of truth for SEQ_LEN and the feature list (§12.1)</w:t>
      </w:r>
    </w:p>
    <w:p>
      <w:pPr>
        <w:spacing w:after="40" w:line="260"/>
        <w:ind w:left="580"/>
      </w:pPr>
      <w:r>
        <w:rPr>
          <w:rFonts w:ascii="Consolas" w:cs="Consolas" w:eastAsia="Consolas" w:hAnsi="Consolas"/>
          <w:sz w:val="20"/>
          <w:szCs w:val="20"/>
        </w:rPr>
        <w:t xml:space="preserve">training/  — model training, single canonical architecture definition (imports schema/)</w:t>
      </w:r>
    </w:p>
    <w:p>
      <w:pPr>
        <w:spacing w:after="40" w:line="260"/>
        <w:ind w:left="580"/>
      </w:pPr>
      <w:r>
        <w:rPr>
          <w:rFonts w:ascii="Consolas" w:cs="Consolas" w:eastAsia="Consolas" w:hAnsi="Consolas"/>
          <w:sz w:val="20"/>
          <w:szCs w:val="20"/>
        </w:rPr>
        <w:t xml:space="preserve">evaluation/  — the one unified evaluation protocol (§6.5); no per-script duplicate CV logic</w:t>
      </w:r>
    </w:p>
    <w:p>
      <w:pPr>
        <w:spacing w:after="40" w:line="260"/>
        <w:ind w:left="260"/>
      </w:pPr>
      <w:r>
        <w:rPr>
          <w:rFonts w:ascii="Consolas" w:cs="Consolas" w:eastAsia="Consolas" w:hAnsi="Consolas"/>
          <w:sz w:val="20"/>
          <w:szCs w:val="20"/>
        </w:rPr>
        <w:t xml:space="preserve">infra/</w:t>
      </w:r>
    </w:p>
    <w:p>
      <w:pPr>
        <w:spacing w:after="40" w:line="260"/>
        <w:ind w:left="580"/>
      </w:pPr>
      <w:r>
        <w:rPr>
          <w:rFonts w:ascii="Consolas" w:cs="Consolas" w:eastAsia="Consolas" w:hAnsi="Consolas"/>
          <w:sz w:val="20"/>
          <w:szCs w:val="20"/>
        </w:rPr>
        <w:t xml:space="preserve">docker/  — container definitions for every service in §9.2</w:t>
      </w:r>
    </w:p>
    <w:p>
      <w:pPr>
        <w:spacing w:after="40" w:line="260"/>
        <w:ind w:left="580"/>
      </w:pPr>
      <w:r>
        <w:rPr>
          <w:rFonts w:ascii="Consolas" w:cs="Consolas" w:eastAsia="Consolas" w:hAnsi="Consolas"/>
          <w:sz w:val="20"/>
          <w:szCs w:val="20"/>
        </w:rPr>
        <w:t xml:space="preserve">ci/  — the CI pipeline definition (§9.4)</w:t>
      </w:r>
    </w:p>
    <w:p>
      <w:pPr>
        <w:spacing w:after="40" w:line="260"/>
        <w:ind w:left="260"/>
      </w:pPr>
      <w:r>
        <w:rPr>
          <w:rFonts w:ascii="Consolas" w:cs="Consolas" w:eastAsia="Consolas" w:hAnsi="Consolas"/>
          <w:sz w:val="20"/>
          <w:szCs w:val="20"/>
        </w:rPr>
        <w:t xml:space="preserve">docs/</w:t>
      </w:r>
    </w:p>
    <w:p>
      <w:pPr>
        <w:spacing w:after="40" w:line="260"/>
        <w:ind w:left="580"/>
      </w:pPr>
      <w:r>
        <w:rPr>
          <w:rFonts w:ascii="Consolas" w:cs="Consolas" w:eastAsia="Consolas" w:hAnsi="Consolas"/>
          <w:sz w:val="20"/>
          <w:szCs w:val="20"/>
        </w:rPr>
        <w:t xml:space="preserve">this specification and every other frozen or living project document</w:t>
      </w:r>
    </w:p>
    <w:p>
      <w:pPr>
        <w:pStyle w:val="Heading1"/>
        <w:spacing w:after="160" w:before="360"/>
      </w:pPr>
      <w:r>
        <w:t xml:space="preserve">14. API Contracts</w:t>
      </w:r>
    </w:p>
    <w:p>
      <w:pPr>
        <w:spacing w:after="160" w:line="276"/>
      </w:pPr>
      <w:r>
        <w:rPr>
          <w:rFonts w:ascii="Calibri" w:cs="Calibri" w:eastAsia="Calibri" w:hAnsi="Calibri"/>
          <w:sz w:val="22"/>
          <w:szCs w:val="22"/>
        </w:rPr>
        <w:t xml:space="preserve">All endpoints are namespaced under a versioned prefix. Every endpoint below is authenticated unless marked Public. Every list-returning endpoint is paginated (§2.4).</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2200"/>
        <w:gridCol w:w="3700"/>
      </w:tblGrid>
      <w:tr>
        <w:trPr>
          <w:tblHeader/>
        </w:trPr>
        <w:tc>
          <w:tcPr>
            <w:tcW w:type="dxa" w:w="2600"/>
            <w:shd w:fill="1F3B57" w:val="clear"/>
            <w:tcMar>
              <w:top w:type="dxa" w:w="80"/>
              <w:left w:type="dxa" w:w="120"/>
              <w:bottom w:type="dxa" w:w="80"/>
              <w:right w:type="dxa" w:w="120"/>
            </w:tcMar>
          </w:tcPr>
          <w:p>
            <w:r>
              <w:rPr>
                <w:rFonts w:ascii="Calibri" w:cs="Calibri" w:eastAsia="Calibri" w:hAnsi="Calibri"/>
                <w:b/>
                <w:bCs/>
                <w:color w:val="FFFFFF"/>
                <w:sz w:val="19"/>
                <w:szCs w:val="19"/>
              </w:rPr>
              <w:t xml:space="preserve">Endpoint</w:t>
            </w:r>
          </w:p>
        </w:tc>
        <w:tc>
          <w:tcPr>
            <w:tcW w:type="dxa" w:w="900"/>
            <w:shd w:fill="1F3B57" w:val="clear"/>
            <w:tcMar>
              <w:top w:type="dxa" w:w="80"/>
              <w:left w:type="dxa" w:w="120"/>
              <w:bottom w:type="dxa" w:w="80"/>
              <w:right w:type="dxa" w:w="120"/>
            </w:tcMar>
          </w:tcPr>
          <w:p>
            <w:r>
              <w:rPr>
                <w:rFonts w:ascii="Calibri" w:cs="Calibri" w:eastAsia="Calibri" w:hAnsi="Calibri"/>
                <w:b/>
                <w:bCs/>
                <w:color w:val="FFFFFF"/>
                <w:sz w:val="19"/>
                <w:szCs w:val="19"/>
              </w:rPr>
              <w:t xml:space="preserve">Method</w:t>
            </w:r>
          </w:p>
        </w:tc>
        <w:tc>
          <w:tcPr>
            <w:tcW w:type="dxa" w:w="2200"/>
            <w:shd w:fill="1F3B57" w:val="clear"/>
            <w:tcMar>
              <w:top w:type="dxa" w:w="80"/>
              <w:left w:type="dxa" w:w="120"/>
              <w:bottom w:type="dxa" w:w="80"/>
              <w:right w:type="dxa" w:w="120"/>
            </w:tcMar>
          </w:tcPr>
          <w:p>
            <w:r>
              <w:rPr>
                <w:rFonts w:ascii="Calibri" w:cs="Calibri" w:eastAsia="Calibri" w:hAnsi="Calibri"/>
                <w:b/>
                <w:bCs/>
                <w:color w:val="FFFFFF"/>
                <w:sz w:val="19"/>
                <w:szCs w:val="19"/>
              </w:rPr>
              <w:t xml:space="preserve">Access</w:t>
            </w:r>
          </w:p>
        </w:tc>
        <w:tc>
          <w:tcPr>
            <w:tcW w:type="dxa" w:w="3700"/>
            <w:shd w:fill="1F3B57" w:val="clear"/>
            <w:tcMar>
              <w:top w:type="dxa" w:w="80"/>
              <w:left w:type="dxa" w:w="120"/>
              <w:bottom w:type="dxa" w:w="80"/>
              <w:right w:type="dxa" w:w="120"/>
            </w:tcMar>
          </w:tcPr>
          <w:p>
            <w:r>
              <w:rPr>
                <w:rFonts w:ascii="Calibri" w:cs="Calibri" w:eastAsia="Calibri" w:hAnsi="Calibri"/>
                <w:b/>
                <w:bCs/>
                <w:color w:val="FFFFFF"/>
                <w:sz w:val="19"/>
                <w:szCs w:val="19"/>
              </w:rPr>
              <w:t xml:space="preserve">Purpose</w:t>
            </w:r>
          </w:p>
        </w:tc>
      </w:tr>
      <w:tr>
        <w:tc>
          <w:tcPr>
            <w:tcW w:type="dxa" w:w="2600"/>
            <w:tcMar>
              <w:top w:type="dxa" w:w="80"/>
              <w:left w:type="dxa" w:w="120"/>
              <w:bottom w:type="dxa" w:w="80"/>
              <w:right w:type="dxa" w:w="120"/>
            </w:tcMar>
          </w:tcPr>
          <w:p>
            <w:r>
              <w:rPr>
                <w:rFonts w:ascii="Calibri" w:cs="Calibri" w:eastAsia="Calibri" w:hAnsi="Calibri"/>
                <w:b w:val="false"/>
                <w:bCs w:val="false"/>
                <w:color w:val="000000"/>
                <w:sz w:val="19"/>
                <w:szCs w:val="19"/>
              </w:rPr>
              <w:t xml:space="preserve">/api/v2/auth/register/</w:t>
            </w:r>
          </w:p>
        </w:tc>
        <w:tc>
          <w:tcPr>
            <w:tcW w:type="dxa" w:w="900"/>
            <w:tcMar>
              <w:top w:type="dxa" w:w="80"/>
              <w:left w:type="dxa" w:w="120"/>
              <w:bottom w:type="dxa" w:w="80"/>
              <w:right w:type="dxa" w:w="120"/>
            </w:tcMar>
          </w:tcPr>
          <w:p>
            <w:r>
              <w:rPr>
                <w:rFonts w:ascii="Calibri" w:cs="Calibri" w:eastAsia="Calibri" w:hAnsi="Calibri"/>
                <w:b w:val="false"/>
                <w:bCs w:val="false"/>
                <w:color w:val="000000"/>
                <w:sz w:val="19"/>
                <w:szCs w:val="19"/>
              </w:rPr>
              <w:t xml:space="preserve">POST</w:t>
            </w:r>
          </w:p>
        </w:tc>
        <w:tc>
          <w:tcPr>
            <w:tcW w:type="dxa" w:w="2200"/>
            <w:tcMar>
              <w:top w:type="dxa" w:w="80"/>
              <w:left w:type="dxa" w:w="120"/>
              <w:bottom w:type="dxa" w:w="80"/>
              <w:right w:type="dxa" w:w="120"/>
            </w:tcMar>
          </w:tcPr>
          <w:p>
            <w:r>
              <w:rPr>
                <w:rFonts w:ascii="Calibri" w:cs="Calibri" w:eastAsia="Calibri" w:hAnsi="Calibri"/>
                <w:b w:val="false"/>
                <w:bCs w:val="false"/>
                <w:color w:val="000000"/>
                <w:sz w:val="19"/>
                <w:szCs w:val="19"/>
              </w:rPr>
              <w:t xml:space="preserve">Public</w:t>
            </w:r>
          </w:p>
        </w:tc>
        <w:tc>
          <w:tcPr>
            <w:tcW w:type="dxa" w:w="3700"/>
            <w:tcMar>
              <w:top w:type="dxa" w:w="80"/>
              <w:left w:type="dxa" w:w="120"/>
              <w:bottom w:type="dxa" w:w="80"/>
              <w:right w:type="dxa" w:w="120"/>
            </w:tcMar>
          </w:tcPr>
          <w:p>
            <w:r>
              <w:rPr>
                <w:rFonts w:ascii="Calibri" w:cs="Calibri" w:eastAsia="Calibri" w:hAnsi="Calibri"/>
                <w:b w:val="false"/>
                <w:bCs w:val="false"/>
                <w:color w:val="000000"/>
                <w:sz w:val="19"/>
                <w:szCs w:val="19"/>
              </w:rPr>
              <w:t xml:space="preserve">Create a Coach or Learner account. Learner signups require real batting_hand and playing_level input — no hardcoded default.</w:t>
            </w:r>
          </w:p>
        </w:tc>
      </w:tr>
      <w:tr>
        <w:tc>
          <w:tcPr>
            <w:tcW w:type="dxa" w:w="2600"/>
            <w:tcMar>
              <w:top w:type="dxa" w:w="80"/>
              <w:left w:type="dxa" w:w="120"/>
              <w:bottom w:type="dxa" w:w="80"/>
              <w:right w:type="dxa" w:w="120"/>
            </w:tcMar>
          </w:tcPr>
          <w:p>
            <w:r>
              <w:rPr>
                <w:rFonts w:ascii="Calibri" w:cs="Calibri" w:eastAsia="Calibri" w:hAnsi="Calibri"/>
                <w:b w:val="false"/>
                <w:bCs w:val="false"/>
                <w:color w:val="000000"/>
                <w:sz w:val="19"/>
                <w:szCs w:val="19"/>
              </w:rPr>
              <w:t xml:space="preserve">/api/v2/auth/login/</w:t>
            </w:r>
          </w:p>
        </w:tc>
        <w:tc>
          <w:tcPr>
            <w:tcW w:type="dxa" w:w="900"/>
            <w:tcMar>
              <w:top w:type="dxa" w:w="80"/>
              <w:left w:type="dxa" w:w="120"/>
              <w:bottom w:type="dxa" w:w="80"/>
              <w:right w:type="dxa" w:w="120"/>
            </w:tcMar>
          </w:tcPr>
          <w:p>
            <w:r>
              <w:rPr>
                <w:rFonts w:ascii="Calibri" w:cs="Calibri" w:eastAsia="Calibri" w:hAnsi="Calibri"/>
                <w:b w:val="false"/>
                <w:bCs w:val="false"/>
                <w:color w:val="000000"/>
                <w:sz w:val="19"/>
                <w:szCs w:val="19"/>
              </w:rPr>
              <w:t xml:space="preserve">POST</w:t>
            </w:r>
          </w:p>
        </w:tc>
        <w:tc>
          <w:tcPr>
            <w:tcW w:type="dxa" w:w="2200"/>
            <w:tcMar>
              <w:top w:type="dxa" w:w="80"/>
              <w:left w:type="dxa" w:w="120"/>
              <w:bottom w:type="dxa" w:w="80"/>
              <w:right w:type="dxa" w:w="120"/>
            </w:tcMar>
          </w:tcPr>
          <w:p>
            <w:r>
              <w:rPr>
                <w:rFonts w:ascii="Calibri" w:cs="Calibri" w:eastAsia="Calibri" w:hAnsi="Calibri"/>
                <w:b w:val="false"/>
                <w:bCs w:val="false"/>
                <w:color w:val="000000"/>
                <w:sz w:val="19"/>
                <w:szCs w:val="19"/>
              </w:rPr>
              <w:t xml:space="preserve">Public</w:t>
            </w:r>
          </w:p>
        </w:tc>
        <w:tc>
          <w:tcPr>
            <w:tcW w:type="dxa" w:w="3700"/>
            <w:tcMar>
              <w:top w:type="dxa" w:w="80"/>
              <w:left w:type="dxa" w:w="120"/>
              <w:bottom w:type="dxa" w:w="80"/>
              <w:right w:type="dxa" w:w="120"/>
            </w:tcMar>
          </w:tcPr>
          <w:p>
            <w:r>
              <w:rPr>
                <w:rFonts w:ascii="Calibri" w:cs="Calibri" w:eastAsia="Calibri" w:hAnsi="Calibri"/>
                <w:b w:val="false"/>
                <w:bCs w:val="false"/>
                <w:color w:val="000000"/>
                <w:sz w:val="19"/>
                <w:szCs w:val="19"/>
              </w:rPr>
              <w:t xml:space="preserve">Obtain access + refresh tokens.</w:t>
            </w:r>
          </w:p>
        </w:tc>
      </w:tr>
      <w:tr>
        <w:tc>
          <w:tcPr>
            <w:tcW w:type="dxa" w:w="2600"/>
            <w:tcMar>
              <w:top w:type="dxa" w:w="80"/>
              <w:left w:type="dxa" w:w="120"/>
              <w:bottom w:type="dxa" w:w="80"/>
              <w:right w:type="dxa" w:w="120"/>
            </w:tcMar>
          </w:tcPr>
          <w:p>
            <w:r>
              <w:rPr>
                <w:rFonts w:ascii="Calibri" w:cs="Calibri" w:eastAsia="Calibri" w:hAnsi="Calibri"/>
                <w:b w:val="false"/>
                <w:bCs w:val="false"/>
                <w:color w:val="000000"/>
                <w:sz w:val="19"/>
                <w:szCs w:val="19"/>
              </w:rPr>
              <w:t xml:space="preserve">/api/v2/auth/token/refresh/</w:t>
            </w:r>
          </w:p>
        </w:tc>
        <w:tc>
          <w:tcPr>
            <w:tcW w:type="dxa" w:w="900"/>
            <w:tcMar>
              <w:top w:type="dxa" w:w="80"/>
              <w:left w:type="dxa" w:w="120"/>
              <w:bottom w:type="dxa" w:w="80"/>
              <w:right w:type="dxa" w:w="120"/>
            </w:tcMar>
          </w:tcPr>
          <w:p>
            <w:r>
              <w:rPr>
                <w:rFonts w:ascii="Calibri" w:cs="Calibri" w:eastAsia="Calibri" w:hAnsi="Calibri"/>
                <w:b w:val="false"/>
                <w:bCs w:val="false"/>
                <w:color w:val="000000"/>
                <w:sz w:val="19"/>
                <w:szCs w:val="19"/>
              </w:rPr>
              <w:t xml:space="preserve">POST</w:t>
            </w:r>
          </w:p>
        </w:tc>
        <w:tc>
          <w:tcPr>
            <w:tcW w:type="dxa" w:w="2200"/>
            <w:tcMar>
              <w:top w:type="dxa" w:w="80"/>
              <w:left w:type="dxa" w:w="120"/>
              <w:bottom w:type="dxa" w:w="80"/>
              <w:right w:type="dxa" w:w="120"/>
            </w:tcMar>
          </w:tcPr>
          <w:p>
            <w:r>
              <w:rPr>
                <w:rFonts w:ascii="Calibri" w:cs="Calibri" w:eastAsia="Calibri" w:hAnsi="Calibri"/>
                <w:b w:val="false"/>
                <w:bCs w:val="false"/>
                <w:color w:val="000000"/>
                <w:sz w:val="19"/>
                <w:szCs w:val="19"/>
              </w:rPr>
              <w:t xml:space="preserve">Public</w:t>
            </w:r>
          </w:p>
        </w:tc>
        <w:tc>
          <w:tcPr>
            <w:tcW w:type="dxa" w:w="3700"/>
            <w:tcMar>
              <w:top w:type="dxa" w:w="80"/>
              <w:left w:type="dxa" w:w="120"/>
              <w:bottom w:type="dxa" w:w="80"/>
              <w:right w:type="dxa" w:w="120"/>
            </w:tcMar>
          </w:tcPr>
          <w:p>
            <w:r>
              <w:rPr>
                <w:rFonts w:ascii="Calibri" w:cs="Calibri" w:eastAsia="Calibri" w:hAnsi="Calibri"/>
                <w:b w:val="false"/>
                <w:bCs w:val="false"/>
                <w:color w:val="000000"/>
                <w:sz w:val="19"/>
                <w:szCs w:val="19"/>
              </w:rPr>
              <w:t xml:space="preserve">Exchange a valid refresh token for a new access token.</w:t>
            </w:r>
          </w:p>
        </w:tc>
      </w:tr>
      <w:tr>
        <w:tc>
          <w:tcPr>
            <w:tcW w:type="dxa" w:w="2600"/>
            <w:tcMar>
              <w:top w:type="dxa" w:w="80"/>
              <w:left w:type="dxa" w:w="120"/>
              <w:bottom w:type="dxa" w:w="80"/>
              <w:right w:type="dxa" w:w="120"/>
            </w:tcMar>
          </w:tcPr>
          <w:p>
            <w:r>
              <w:rPr>
                <w:rFonts w:ascii="Calibri" w:cs="Calibri" w:eastAsia="Calibri" w:hAnsi="Calibri"/>
                <w:b w:val="false"/>
                <w:bCs w:val="false"/>
                <w:color w:val="000000"/>
                <w:sz w:val="19"/>
                <w:szCs w:val="19"/>
              </w:rPr>
              <w:t xml:space="preserve">/api/v2/auth/logout/</w:t>
            </w:r>
          </w:p>
        </w:tc>
        <w:tc>
          <w:tcPr>
            <w:tcW w:type="dxa" w:w="900"/>
            <w:tcMar>
              <w:top w:type="dxa" w:w="80"/>
              <w:left w:type="dxa" w:w="120"/>
              <w:bottom w:type="dxa" w:w="80"/>
              <w:right w:type="dxa" w:w="120"/>
            </w:tcMar>
          </w:tcPr>
          <w:p>
            <w:r>
              <w:rPr>
                <w:rFonts w:ascii="Calibri" w:cs="Calibri" w:eastAsia="Calibri" w:hAnsi="Calibri"/>
                <w:b w:val="false"/>
                <w:bCs w:val="false"/>
                <w:color w:val="000000"/>
                <w:sz w:val="19"/>
                <w:szCs w:val="19"/>
              </w:rPr>
              <w:t xml:space="preserve">POST</w:t>
            </w:r>
          </w:p>
        </w:tc>
        <w:tc>
          <w:tcPr>
            <w:tcW w:type="dxa" w:w="2200"/>
            <w:tcMar>
              <w:top w:type="dxa" w:w="80"/>
              <w:left w:type="dxa" w:w="120"/>
              <w:bottom w:type="dxa" w:w="80"/>
              <w:right w:type="dxa" w:w="120"/>
            </w:tcMar>
          </w:tcPr>
          <w:p>
            <w:r>
              <w:rPr>
                <w:rFonts w:ascii="Calibri" w:cs="Calibri" w:eastAsia="Calibri" w:hAnsi="Calibri"/>
                <w:b w:val="false"/>
                <w:bCs w:val="false"/>
                <w:color w:val="000000"/>
                <w:sz w:val="19"/>
                <w:szCs w:val="19"/>
              </w:rPr>
              <w:t xml:space="preserve">Authenticated</w:t>
            </w:r>
          </w:p>
        </w:tc>
        <w:tc>
          <w:tcPr>
            <w:tcW w:type="dxa" w:w="3700"/>
            <w:tcMar>
              <w:top w:type="dxa" w:w="80"/>
              <w:left w:type="dxa" w:w="120"/>
              <w:bottom w:type="dxa" w:w="80"/>
              <w:right w:type="dxa" w:w="120"/>
            </w:tcMar>
          </w:tcPr>
          <w:p>
            <w:r>
              <w:rPr>
                <w:rFonts w:ascii="Calibri" w:cs="Calibri" w:eastAsia="Calibri" w:hAnsi="Calibri"/>
                <w:b w:val="false"/>
                <w:bCs w:val="false"/>
                <w:color w:val="000000"/>
                <w:sz w:val="19"/>
                <w:szCs w:val="19"/>
              </w:rPr>
              <w:t xml:space="preserve">Blacklist the presented refresh token (new in V2 — closes the V1 gap).</w:t>
            </w:r>
          </w:p>
        </w:tc>
      </w:tr>
      <w:tr>
        <w:tc>
          <w:tcPr>
            <w:tcW w:type="dxa" w:w="2600"/>
            <w:tcMar>
              <w:top w:type="dxa" w:w="80"/>
              <w:left w:type="dxa" w:w="120"/>
              <w:bottom w:type="dxa" w:w="80"/>
              <w:right w:type="dxa" w:w="120"/>
            </w:tcMar>
          </w:tcPr>
          <w:p>
            <w:r>
              <w:rPr>
                <w:rFonts w:ascii="Calibri" w:cs="Calibri" w:eastAsia="Calibri" w:hAnsi="Calibri"/>
                <w:b w:val="false"/>
                <w:bCs w:val="false"/>
                <w:color w:val="000000"/>
                <w:sz w:val="19"/>
                <w:szCs w:val="19"/>
              </w:rPr>
              <w:t xml:space="preserve">/api/v2/auth/me/</w:t>
            </w:r>
          </w:p>
        </w:tc>
        <w:tc>
          <w:tcPr>
            <w:tcW w:type="dxa" w:w="900"/>
            <w:tcMar>
              <w:top w:type="dxa" w:w="80"/>
              <w:left w:type="dxa" w:w="120"/>
              <w:bottom w:type="dxa" w:w="80"/>
              <w:right w:type="dxa" w:w="120"/>
            </w:tcMar>
          </w:tcPr>
          <w:p>
            <w:r>
              <w:rPr>
                <w:rFonts w:ascii="Calibri" w:cs="Calibri" w:eastAsia="Calibri" w:hAnsi="Calibri"/>
                <w:b w:val="false"/>
                <w:bCs w:val="false"/>
                <w:color w:val="000000"/>
                <w:sz w:val="19"/>
                <w:szCs w:val="19"/>
              </w:rPr>
              <w:t xml:space="preserve">GET</w:t>
            </w:r>
          </w:p>
        </w:tc>
        <w:tc>
          <w:tcPr>
            <w:tcW w:type="dxa" w:w="2200"/>
            <w:tcMar>
              <w:top w:type="dxa" w:w="80"/>
              <w:left w:type="dxa" w:w="120"/>
              <w:bottom w:type="dxa" w:w="80"/>
              <w:right w:type="dxa" w:w="120"/>
            </w:tcMar>
          </w:tcPr>
          <w:p>
            <w:r>
              <w:rPr>
                <w:rFonts w:ascii="Calibri" w:cs="Calibri" w:eastAsia="Calibri" w:hAnsi="Calibri"/>
                <w:b w:val="false"/>
                <w:bCs w:val="false"/>
                <w:color w:val="000000"/>
                <w:sz w:val="19"/>
                <w:szCs w:val="19"/>
              </w:rPr>
              <w:t xml:space="preserve">Authenticated</w:t>
            </w:r>
          </w:p>
        </w:tc>
        <w:tc>
          <w:tcPr>
            <w:tcW w:type="dxa" w:w="3700"/>
            <w:tcMar>
              <w:top w:type="dxa" w:w="80"/>
              <w:left w:type="dxa" w:w="120"/>
              <w:bottom w:type="dxa" w:w="80"/>
              <w:right w:type="dxa" w:w="120"/>
            </w:tcMar>
          </w:tcPr>
          <w:p>
            <w:r>
              <w:rPr>
                <w:rFonts w:ascii="Calibri" w:cs="Calibri" w:eastAsia="Calibri" w:hAnsi="Calibri"/>
                <w:b w:val="false"/>
                <w:bCs w:val="false"/>
                <w:color w:val="000000"/>
                <w:sz w:val="19"/>
                <w:szCs w:val="19"/>
              </w:rPr>
              <w:t xml:space="preserve">Return the caller's role, name, and email.</w:t>
            </w:r>
          </w:p>
        </w:tc>
      </w:tr>
      <w:tr>
        <w:tc>
          <w:tcPr>
            <w:tcW w:type="dxa" w:w="2600"/>
            <w:tcMar>
              <w:top w:type="dxa" w:w="80"/>
              <w:left w:type="dxa" w:w="120"/>
              <w:bottom w:type="dxa" w:w="80"/>
              <w:right w:type="dxa" w:w="120"/>
            </w:tcMar>
          </w:tcPr>
          <w:p>
            <w:r>
              <w:rPr>
                <w:rFonts w:ascii="Calibri" w:cs="Calibri" w:eastAsia="Calibri" w:hAnsi="Calibri"/>
                <w:b w:val="false"/>
                <w:bCs w:val="false"/>
                <w:color w:val="000000"/>
                <w:sz w:val="19"/>
                <w:szCs w:val="19"/>
              </w:rPr>
              <w:t xml:space="preserve">/api/v2/sessions/analyze/</w:t>
            </w:r>
          </w:p>
        </w:tc>
        <w:tc>
          <w:tcPr>
            <w:tcW w:type="dxa" w:w="900"/>
            <w:tcMar>
              <w:top w:type="dxa" w:w="80"/>
              <w:left w:type="dxa" w:w="120"/>
              <w:bottom w:type="dxa" w:w="80"/>
              <w:right w:type="dxa" w:w="120"/>
            </w:tcMar>
          </w:tcPr>
          <w:p>
            <w:r>
              <w:rPr>
                <w:rFonts w:ascii="Calibri" w:cs="Calibri" w:eastAsia="Calibri" w:hAnsi="Calibri"/>
                <w:b w:val="false"/>
                <w:bCs w:val="false"/>
                <w:color w:val="000000"/>
                <w:sz w:val="19"/>
                <w:szCs w:val="19"/>
              </w:rPr>
              <w:t xml:space="preserve">POST</w:t>
            </w:r>
          </w:p>
        </w:tc>
        <w:tc>
          <w:tcPr>
            <w:tcW w:type="dxa" w:w="2200"/>
            <w:tcMar>
              <w:top w:type="dxa" w:w="80"/>
              <w:left w:type="dxa" w:w="120"/>
              <w:bottom w:type="dxa" w:w="80"/>
              <w:right w:type="dxa" w:w="120"/>
            </w:tcMar>
          </w:tcPr>
          <w:p>
            <w:r>
              <w:rPr>
                <w:rFonts w:ascii="Calibri" w:cs="Calibri" w:eastAsia="Calibri" w:hAnsi="Calibri"/>
                <w:b w:val="false"/>
                <w:bCs w:val="false"/>
                <w:color w:val="000000"/>
                <w:sz w:val="19"/>
                <w:szCs w:val="19"/>
              </w:rPr>
              <w:t xml:space="preserve">Authenticated</w:t>
            </w:r>
          </w:p>
        </w:tc>
        <w:tc>
          <w:tcPr>
            <w:tcW w:type="dxa" w:w="3700"/>
            <w:tcMar>
              <w:top w:type="dxa" w:w="80"/>
              <w:left w:type="dxa" w:w="120"/>
              <w:bottom w:type="dxa" w:w="80"/>
              <w:right w:type="dxa" w:w="120"/>
            </w:tcMar>
          </w:tcPr>
          <w:p>
            <w:r>
              <w:rPr>
                <w:rFonts w:ascii="Calibri" w:cs="Calibri" w:eastAsia="Calibri" w:hAnsi="Calibri"/>
                <w:b w:val="false"/>
                <w:bCs w:val="false"/>
                <w:color w:val="000000"/>
                <w:sz w:val="19"/>
                <w:szCs w:val="19"/>
              </w:rPr>
              <w:t xml:space="preserve">Accept a video upload; run the Pre-Flight Quality Gate synchronously; on pass, stage to object storage and enqueue inference. Returns a job identifier immediately (202 Accepted) — never returns a completed result synchronously.</w:t>
            </w:r>
          </w:p>
        </w:tc>
      </w:tr>
      <w:tr>
        <w:tc>
          <w:tcPr>
            <w:tcW w:type="dxa" w:w="2600"/>
            <w:tcMar>
              <w:top w:type="dxa" w:w="80"/>
              <w:left w:type="dxa" w:w="120"/>
              <w:bottom w:type="dxa" w:w="80"/>
              <w:right w:type="dxa" w:w="120"/>
            </w:tcMar>
          </w:tcPr>
          <w:p>
            <w:r>
              <w:rPr>
                <w:rFonts w:ascii="Calibri" w:cs="Calibri" w:eastAsia="Calibri" w:hAnsi="Calibri"/>
                <w:b w:val="false"/>
                <w:bCs w:val="false"/>
                <w:color w:val="000000"/>
                <w:sz w:val="19"/>
                <w:szCs w:val="19"/>
              </w:rPr>
              <w:t xml:space="preserve">/api/v2/sessions/analyze/{job_id}/status/</w:t>
            </w:r>
          </w:p>
        </w:tc>
        <w:tc>
          <w:tcPr>
            <w:tcW w:type="dxa" w:w="900"/>
            <w:tcMar>
              <w:top w:type="dxa" w:w="80"/>
              <w:left w:type="dxa" w:w="120"/>
              <w:bottom w:type="dxa" w:w="80"/>
              <w:right w:type="dxa" w:w="120"/>
            </w:tcMar>
          </w:tcPr>
          <w:p>
            <w:r>
              <w:rPr>
                <w:rFonts w:ascii="Calibri" w:cs="Calibri" w:eastAsia="Calibri" w:hAnsi="Calibri"/>
                <w:b w:val="false"/>
                <w:bCs w:val="false"/>
                <w:color w:val="000000"/>
                <w:sz w:val="19"/>
                <w:szCs w:val="19"/>
              </w:rPr>
              <w:t xml:space="preserve">GET</w:t>
            </w:r>
          </w:p>
        </w:tc>
        <w:tc>
          <w:tcPr>
            <w:tcW w:type="dxa" w:w="2200"/>
            <w:tcMar>
              <w:top w:type="dxa" w:w="80"/>
              <w:left w:type="dxa" w:w="120"/>
              <w:bottom w:type="dxa" w:w="80"/>
              <w:right w:type="dxa" w:w="120"/>
            </w:tcMar>
          </w:tcPr>
          <w:p>
            <w:r>
              <w:rPr>
                <w:rFonts w:ascii="Calibri" w:cs="Calibri" w:eastAsia="Calibri" w:hAnsi="Calibri"/>
                <w:b w:val="false"/>
                <w:bCs w:val="false"/>
                <w:color w:val="000000"/>
                <w:sz w:val="19"/>
                <w:szCs w:val="19"/>
              </w:rPr>
              <w:t xml:space="preserve">Authenticated, job owner</w:t>
            </w:r>
          </w:p>
        </w:tc>
        <w:tc>
          <w:tcPr>
            <w:tcW w:type="dxa" w:w="3700"/>
            <w:tcMar>
              <w:top w:type="dxa" w:w="80"/>
              <w:left w:type="dxa" w:w="120"/>
              <w:bottom w:type="dxa" w:w="80"/>
              <w:right w:type="dxa" w:w="120"/>
            </w:tcMar>
          </w:tcPr>
          <w:p>
            <w:r>
              <w:rPr>
                <w:rFonts w:ascii="Calibri" w:cs="Calibri" w:eastAsia="Calibri" w:hAnsi="Calibri"/>
                <w:b w:val="false"/>
                <w:bCs w:val="false"/>
                <w:color w:val="000000"/>
                <w:sz w:val="19"/>
                <w:szCs w:val="19"/>
              </w:rPr>
              <w:t xml:space="preserve">Return PENDING / PROCESSING / COMPLETED / FAILED, and on COMPLETED, the resulting session identifier.</w:t>
            </w:r>
          </w:p>
        </w:tc>
      </w:tr>
      <w:tr>
        <w:tc>
          <w:tcPr>
            <w:tcW w:type="dxa" w:w="2600"/>
            <w:tcMar>
              <w:top w:type="dxa" w:w="80"/>
              <w:left w:type="dxa" w:w="120"/>
              <w:bottom w:type="dxa" w:w="80"/>
              <w:right w:type="dxa" w:w="120"/>
            </w:tcMar>
          </w:tcPr>
          <w:p>
            <w:r>
              <w:rPr>
                <w:rFonts w:ascii="Calibri" w:cs="Calibri" w:eastAsia="Calibri" w:hAnsi="Calibri"/>
                <w:b w:val="false"/>
                <w:bCs w:val="false"/>
                <w:color w:val="000000"/>
                <w:sz w:val="19"/>
                <w:szCs w:val="19"/>
              </w:rPr>
              <w:t xml:space="preserve">/api/v2/sessions/</w:t>
            </w:r>
          </w:p>
        </w:tc>
        <w:tc>
          <w:tcPr>
            <w:tcW w:type="dxa" w:w="900"/>
            <w:tcMar>
              <w:top w:type="dxa" w:w="80"/>
              <w:left w:type="dxa" w:w="120"/>
              <w:bottom w:type="dxa" w:w="80"/>
              <w:right w:type="dxa" w:w="120"/>
            </w:tcMar>
          </w:tcPr>
          <w:p>
            <w:r>
              <w:rPr>
                <w:rFonts w:ascii="Calibri" w:cs="Calibri" w:eastAsia="Calibri" w:hAnsi="Calibri"/>
                <w:b w:val="false"/>
                <w:bCs w:val="false"/>
                <w:color w:val="000000"/>
                <w:sz w:val="19"/>
                <w:szCs w:val="19"/>
              </w:rPr>
              <w:t xml:space="preserve">GET</w:t>
            </w:r>
          </w:p>
        </w:tc>
        <w:tc>
          <w:tcPr>
            <w:tcW w:type="dxa" w:w="2200"/>
            <w:tcMar>
              <w:top w:type="dxa" w:w="80"/>
              <w:left w:type="dxa" w:w="120"/>
              <w:bottom w:type="dxa" w:w="80"/>
              <w:right w:type="dxa" w:w="120"/>
            </w:tcMar>
          </w:tcPr>
          <w:p>
            <w:r>
              <w:rPr>
                <w:rFonts w:ascii="Calibri" w:cs="Calibri" w:eastAsia="Calibri" w:hAnsi="Calibri"/>
                <w:b w:val="false"/>
                <w:bCs w:val="false"/>
                <w:color w:val="000000"/>
                <w:sz w:val="19"/>
                <w:szCs w:val="19"/>
              </w:rPr>
              <w:t xml:space="preserve">Authenticated, role-scoped</w:t>
            </w:r>
          </w:p>
        </w:tc>
        <w:tc>
          <w:tcPr>
            <w:tcW w:type="dxa" w:w="3700"/>
            <w:tcMar>
              <w:top w:type="dxa" w:w="80"/>
              <w:left w:type="dxa" w:w="120"/>
              <w:bottom w:type="dxa" w:w="80"/>
              <w:right w:type="dxa" w:w="120"/>
            </w:tcMar>
          </w:tcPr>
          <w:p>
            <w:r>
              <w:rPr>
                <w:rFonts w:ascii="Calibri" w:cs="Calibri" w:eastAsia="Calibri" w:hAnsi="Calibri"/>
                <w:b w:val="false"/>
                <w:bCs w:val="false"/>
                <w:color w:val="000000"/>
                <w:sz w:val="19"/>
                <w:szCs w:val="19"/>
              </w:rPr>
              <w:t xml:space="preserve">List sessions visible to the caller (own sessions for a Learner; academy sessions for a Coach). Paginated.</w:t>
            </w:r>
          </w:p>
        </w:tc>
      </w:tr>
      <w:tr>
        <w:tc>
          <w:tcPr>
            <w:tcW w:type="dxa" w:w="2600"/>
            <w:tcMar>
              <w:top w:type="dxa" w:w="80"/>
              <w:left w:type="dxa" w:w="120"/>
              <w:bottom w:type="dxa" w:w="80"/>
              <w:right w:type="dxa" w:w="120"/>
            </w:tcMar>
          </w:tcPr>
          <w:p>
            <w:r>
              <w:rPr>
                <w:rFonts w:ascii="Calibri" w:cs="Calibri" w:eastAsia="Calibri" w:hAnsi="Calibri"/>
                <w:b w:val="false"/>
                <w:bCs w:val="false"/>
                <w:color w:val="000000"/>
                <w:sz w:val="19"/>
                <w:szCs w:val="19"/>
              </w:rPr>
              <w:t xml:space="preserve">/api/v2/sessions/{id}/</w:t>
            </w:r>
          </w:p>
        </w:tc>
        <w:tc>
          <w:tcPr>
            <w:tcW w:type="dxa" w:w="900"/>
            <w:tcMar>
              <w:top w:type="dxa" w:w="80"/>
              <w:left w:type="dxa" w:w="120"/>
              <w:bottom w:type="dxa" w:w="80"/>
              <w:right w:type="dxa" w:w="120"/>
            </w:tcMar>
          </w:tcPr>
          <w:p>
            <w:r>
              <w:rPr>
                <w:rFonts w:ascii="Calibri" w:cs="Calibri" w:eastAsia="Calibri" w:hAnsi="Calibri"/>
                <w:b w:val="false"/>
                <w:bCs w:val="false"/>
                <w:color w:val="000000"/>
                <w:sz w:val="19"/>
                <w:szCs w:val="19"/>
              </w:rPr>
              <w:t xml:space="preserve">GET</w:t>
            </w:r>
          </w:p>
        </w:tc>
        <w:tc>
          <w:tcPr>
            <w:tcW w:type="dxa" w:w="2200"/>
            <w:tcMar>
              <w:top w:type="dxa" w:w="80"/>
              <w:left w:type="dxa" w:w="120"/>
              <w:bottom w:type="dxa" w:w="80"/>
              <w:right w:type="dxa" w:w="120"/>
            </w:tcMar>
          </w:tcPr>
          <w:p>
            <w:r>
              <w:rPr>
                <w:rFonts w:ascii="Calibri" w:cs="Calibri" w:eastAsia="Calibri" w:hAnsi="Calibri"/>
                <w:b w:val="false"/>
                <w:bCs w:val="false"/>
                <w:color w:val="000000"/>
                <w:sz w:val="19"/>
                <w:szCs w:val="19"/>
              </w:rPr>
              <w:t xml:space="preserve">Authenticated, role-scoped</w:t>
            </w:r>
          </w:p>
        </w:tc>
        <w:tc>
          <w:tcPr>
            <w:tcW w:type="dxa" w:w="3700"/>
            <w:tcMar>
              <w:top w:type="dxa" w:w="80"/>
              <w:left w:type="dxa" w:w="120"/>
              <w:bottom w:type="dxa" w:w="80"/>
              <w:right w:type="dxa" w:w="120"/>
            </w:tcMar>
          </w:tcPr>
          <w:p>
            <w:r>
              <w:rPr>
                <w:rFonts w:ascii="Calibri" w:cs="Calibri" w:eastAsia="Calibri" w:hAnsi="Calibri"/>
                <w:b w:val="false"/>
                <w:bCs w:val="false"/>
                <w:color w:val="000000"/>
                <w:sz w:val="19"/>
                <w:szCs w:val="19"/>
              </w:rPr>
              <w:t xml:space="preserve">Full session detail: four scores, confidence_variance, attribution_drivers (all four scores, not only the weakest), counterfactual_simulation, lopo_disagreement.</w:t>
            </w:r>
          </w:p>
        </w:tc>
      </w:tr>
      <w:tr>
        <w:tc>
          <w:tcPr>
            <w:tcW w:type="dxa" w:w="2600"/>
            <w:tcMar>
              <w:top w:type="dxa" w:w="80"/>
              <w:left w:type="dxa" w:w="120"/>
              <w:bottom w:type="dxa" w:w="80"/>
              <w:right w:type="dxa" w:w="120"/>
            </w:tcMar>
          </w:tcPr>
          <w:p>
            <w:r>
              <w:rPr>
                <w:rFonts w:ascii="Calibri" w:cs="Calibri" w:eastAsia="Calibri" w:hAnsi="Calibri"/>
                <w:b w:val="false"/>
                <w:bCs w:val="false"/>
                <w:color w:val="000000"/>
                <w:sz w:val="19"/>
                <w:szCs w:val="19"/>
              </w:rPr>
              <w:t xml:space="preserve">/api/v2/sessions/{id}/</w:t>
            </w:r>
          </w:p>
        </w:tc>
        <w:tc>
          <w:tcPr>
            <w:tcW w:type="dxa" w:w="900"/>
            <w:tcMar>
              <w:top w:type="dxa" w:w="80"/>
              <w:left w:type="dxa" w:w="120"/>
              <w:bottom w:type="dxa" w:w="80"/>
              <w:right w:type="dxa" w:w="120"/>
            </w:tcMar>
          </w:tcPr>
          <w:p>
            <w:r>
              <w:rPr>
                <w:rFonts w:ascii="Calibri" w:cs="Calibri" w:eastAsia="Calibri" w:hAnsi="Calibri"/>
                <w:b w:val="false"/>
                <w:bCs w:val="false"/>
                <w:color w:val="000000"/>
                <w:sz w:val="19"/>
                <w:szCs w:val="19"/>
              </w:rPr>
              <w:t xml:space="preserve">PATCH</w:t>
            </w:r>
          </w:p>
        </w:tc>
        <w:tc>
          <w:tcPr>
            <w:tcW w:type="dxa" w:w="2200"/>
            <w:tcMar>
              <w:top w:type="dxa" w:w="80"/>
              <w:left w:type="dxa" w:w="120"/>
              <w:bottom w:type="dxa" w:w="80"/>
              <w:right w:type="dxa" w:w="120"/>
            </w:tcMar>
          </w:tcPr>
          <w:p>
            <w:r>
              <w:rPr>
                <w:rFonts w:ascii="Calibri" w:cs="Calibri" w:eastAsia="Calibri" w:hAnsi="Calibri"/>
                <w:b w:val="false"/>
                <w:bCs w:val="false"/>
                <w:color w:val="000000"/>
                <w:sz w:val="19"/>
                <w:szCs w:val="19"/>
              </w:rPr>
              <w:t xml:space="preserve">Coach only, own academy</w:t>
            </w:r>
          </w:p>
        </w:tc>
        <w:tc>
          <w:tcPr>
            <w:tcW w:type="dxa" w:w="3700"/>
            <w:tcMar>
              <w:top w:type="dxa" w:w="80"/>
              <w:left w:type="dxa" w:w="120"/>
              <w:bottom w:type="dxa" w:w="80"/>
              <w:right w:type="dxa" w:w="120"/>
            </w:tcMar>
          </w:tcPr>
          <w:p>
            <w:r>
              <w:rPr>
                <w:rFonts w:ascii="Calibri" w:cs="Calibri" w:eastAsia="Calibri" w:hAnsi="Calibri"/>
                <w:b w:val="false"/>
                <w:bCs w:val="false"/>
                <w:color w:val="000000"/>
                <w:sz w:val="19"/>
                <w:szCs w:val="19"/>
              </w:rPr>
              <w:t xml:space="preserve">Override Balance/Power/Technique/Defence and attach a note. Writes one CoachOverrideLog row per changed metric.</w:t>
            </w:r>
          </w:p>
        </w:tc>
      </w:tr>
      <w:tr>
        <w:tc>
          <w:tcPr>
            <w:tcW w:type="dxa" w:w="2600"/>
            <w:tcMar>
              <w:top w:type="dxa" w:w="80"/>
              <w:left w:type="dxa" w:w="120"/>
              <w:bottom w:type="dxa" w:w="80"/>
              <w:right w:type="dxa" w:w="120"/>
            </w:tcMar>
          </w:tcPr>
          <w:p>
            <w:r>
              <w:rPr>
                <w:rFonts w:ascii="Calibri" w:cs="Calibri" w:eastAsia="Calibri" w:hAnsi="Calibri"/>
                <w:b w:val="false"/>
                <w:bCs w:val="false"/>
                <w:color w:val="000000"/>
                <w:sz w:val="19"/>
                <w:szCs w:val="19"/>
              </w:rPr>
              <w:t xml:space="preserve">/api/v2/sessions/{id}/overrides/</w:t>
            </w:r>
          </w:p>
        </w:tc>
        <w:tc>
          <w:tcPr>
            <w:tcW w:type="dxa" w:w="900"/>
            <w:tcMar>
              <w:top w:type="dxa" w:w="80"/>
              <w:left w:type="dxa" w:w="120"/>
              <w:bottom w:type="dxa" w:w="80"/>
              <w:right w:type="dxa" w:w="120"/>
            </w:tcMar>
          </w:tcPr>
          <w:p>
            <w:r>
              <w:rPr>
                <w:rFonts w:ascii="Calibri" w:cs="Calibri" w:eastAsia="Calibri" w:hAnsi="Calibri"/>
                <w:b w:val="false"/>
                <w:bCs w:val="false"/>
                <w:color w:val="000000"/>
                <w:sz w:val="19"/>
                <w:szCs w:val="19"/>
              </w:rPr>
              <w:t xml:space="preserve">GET</w:t>
            </w:r>
          </w:p>
        </w:tc>
        <w:tc>
          <w:tcPr>
            <w:tcW w:type="dxa" w:w="2200"/>
            <w:tcMar>
              <w:top w:type="dxa" w:w="80"/>
              <w:left w:type="dxa" w:w="120"/>
              <w:bottom w:type="dxa" w:w="80"/>
              <w:right w:type="dxa" w:w="120"/>
            </w:tcMar>
          </w:tcPr>
          <w:p>
            <w:r>
              <w:rPr>
                <w:rFonts w:ascii="Calibri" w:cs="Calibri" w:eastAsia="Calibri" w:hAnsi="Calibri"/>
                <w:b w:val="false"/>
                <w:bCs w:val="false"/>
                <w:color w:val="000000"/>
                <w:sz w:val="19"/>
                <w:szCs w:val="19"/>
              </w:rPr>
              <w:t xml:space="preserve">Coach or the session's own learner</w:t>
            </w:r>
          </w:p>
        </w:tc>
        <w:tc>
          <w:tcPr>
            <w:tcW w:type="dxa" w:w="3700"/>
            <w:tcMar>
              <w:top w:type="dxa" w:w="80"/>
              <w:left w:type="dxa" w:w="120"/>
              <w:bottom w:type="dxa" w:w="80"/>
              <w:right w:type="dxa" w:w="120"/>
            </w:tcMar>
          </w:tcPr>
          <w:p>
            <w:r>
              <w:rPr>
                <w:rFonts w:ascii="Calibri" w:cs="Calibri" w:eastAsia="Calibri" w:hAnsi="Calibri"/>
                <w:b w:val="false"/>
                <w:bCs w:val="false"/>
                <w:color w:val="000000"/>
                <w:sz w:val="19"/>
                <w:szCs w:val="19"/>
              </w:rPr>
              <w:t xml:space="preserve">Read override history for a session (new in V2 — closes the V1 read-path gap on CoachOverrideLog).</w:t>
            </w:r>
          </w:p>
        </w:tc>
      </w:tr>
      <w:tr>
        <w:tc>
          <w:tcPr>
            <w:tcW w:type="dxa" w:w="2600"/>
            <w:tcMar>
              <w:top w:type="dxa" w:w="80"/>
              <w:left w:type="dxa" w:w="120"/>
              <w:bottom w:type="dxa" w:w="80"/>
              <w:right w:type="dxa" w:w="120"/>
            </w:tcMar>
          </w:tcPr>
          <w:p>
            <w:r>
              <w:rPr>
                <w:rFonts w:ascii="Calibri" w:cs="Calibri" w:eastAsia="Calibri" w:hAnsi="Calibri"/>
                <w:b w:val="false"/>
                <w:bCs w:val="false"/>
                <w:color w:val="000000"/>
                <w:sz w:val="19"/>
                <w:szCs w:val="19"/>
              </w:rPr>
              <w:t xml:space="preserve">/api/v2/learner/me/</w:t>
            </w:r>
          </w:p>
        </w:tc>
        <w:tc>
          <w:tcPr>
            <w:tcW w:type="dxa" w:w="900"/>
            <w:tcMar>
              <w:top w:type="dxa" w:w="80"/>
              <w:left w:type="dxa" w:w="120"/>
              <w:bottom w:type="dxa" w:w="80"/>
              <w:right w:type="dxa" w:w="120"/>
            </w:tcMar>
          </w:tcPr>
          <w:p>
            <w:r>
              <w:rPr>
                <w:rFonts w:ascii="Calibri" w:cs="Calibri" w:eastAsia="Calibri" w:hAnsi="Calibri"/>
                <w:b w:val="false"/>
                <w:bCs w:val="false"/>
                <w:color w:val="000000"/>
                <w:sz w:val="19"/>
                <w:szCs w:val="19"/>
              </w:rPr>
              <w:t xml:space="preserve">GET</w:t>
            </w:r>
          </w:p>
        </w:tc>
        <w:tc>
          <w:tcPr>
            <w:tcW w:type="dxa" w:w="2200"/>
            <w:tcMar>
              <w:top w:type="dxa" w:w="80"/>
              <w:left w:type="dxa" w:w="120"/>
              <w:bottom w:type="dxa" w:w="80"/>
              <w:right w:type="dxa" w:w="120"/>
            </w:tcMar>
          </w:tcPr>
          <w:p>
            <w:r>
              <w:rPr>
                <w:rFonts w:ascii="Calibri" w:cs="Calibri" w:eastAsia="Calibri" w:hAnsi="Calibri"/>
                <w:b w:val="false"/>
                <w:bCs w:val="false"/>
                <w:color w:val="000000"/>
                <w:sz w:val="19"/>
                <w:szCs w:val="19"/>
              </w:rPr>
              <w:t xml:space="preserve">Authenticated learner</w:t>
            </w:r>
          </w:p>
        </w:tc>
        <w:tc>
          <w:tcPr>
            <w:tcW w:type="dxa" w:w="3700"/>
            <w:tcMar>
              <w:top w:type="dxa" w:w="80"/>
              <w:left w:type="dxa" w:w="120"/>
              <w:bottom w:type="dxa" w:w="80"/>
              <w:right w:type="dxa" w:w="120"/>
            </w:tcMar>
          </w:tcPr>
          <w:p>
            <w:r>
              <w:rPr>
                <w:rFonts w:ascii="Calibri" w:cs="Calibri" w:eastAsia="Calibri" w:hAnsi="Calibri"/>
                <w:b w:val="false"/>
                <w:bCs w:val="false"/>
                <w:color w:val="000000"/>
                <w:sz w:val="19"/>
                <w:szCs w:val="19"/>
              </w:rPr>
              <w:t xml:space="preserve">Profile, paginated session history, and Personal Baseline Drift statistics.</w:t>
            </w:r>
          </w:p>
        </w:tc>
      </w:tr>
      <w:tr>
        <w:tc>
          <w:tcPr>
            <w:tcW w:type="dxa" w:w="2600"/>
            <w:tcMar>
              <w:top w:type="dxa" w:w="80"/>
              <w:left w:type="dxa" w:w="120"/>
              <w:bottom w:type="dxa" w:w="80"/>
              <w:right w:type="dxa" w:w="120"/>
            </w:tcMar>
          </w:tcPr>
          <w:p>
            <w:r>
              <w:rPr>
                <w:rFonts w:ascii="Calibri" w:cs="Calibri" w:eastAsia="Calibri" w:hAnsi="Calibri"/>
                <w:b w:val="false"/>
                <w:bCs w:val="false"/>
                <w:color w:val="000000"/>
                <w:sz w:val="19"/>
                <w:szCs w:val="19"/>
              </w:rPr>
              <w:t xml:space="preserve">/api/v2/coach/me/</w:t>
            </w:r>
          </w:p>
        </w:tc>
        <w:tc>
          <w:tcPr>
            <w:tcW w:type="dxa" w:w="900"/>
            <w:tcMar>
              <w:top w:type="dxa" w:w="80"/>
              <w:left w:type="dxa" w:w="120"/>
              <w:bottom w:type="dxa" w:w="80"/>
              <w:right w:type="dxa" w:w="120"/>
            </w:tcMar>
          </w:tcPr>
          <w:p>
            <w:r>
              <w:rPr>
                <w:rFonts w:ascii="Calibri" w:cs="Calibri" w:eastAsia="Calibri" w:hAnsi="Calibri"/>
                <w:b w:val="false"/>
                <w:bCs w:val="false"/>
                <w:color w:val="000000"/>
                <w:sz w:val="19"/>
                <w:szCs w:val="19"/>
              </w:rPr>
              <w:t xml:space="preserve">GET</w:t>
            </w:r>
          </w:p>
        </w:tc>
        <w:tc>
          <w:tcPr>
            <w:tcW w:type="dxa" w:w="2200"/>
            <w:tcMar>
              <w:top w:type="dxa" w:w="80"/>
              <w:left w:type="dxa" w:w="120"/>
              <w:bottom w:type="dxa" w:w="80"/>
              <w:right w:type="dxa" w:w="120"/>
            </w:tcMar>
          </w:tcPr>
          <w:p>
            <w:r>
              <w:rPr>
                <w:rFonts w:ascii="Calibri" w:cs="Calibri" w:eastAsia="Calibri" w:hAnsi="Calibri"/>
                <w:b w:val="false"/>
                <w:bCs w:val="false"/>
                <w:color w:val="000000"/>
                <w:sz w:val="19"/>
                <w:szCs w:val="19"/>
              </w:rPr>
              <w:t xml:space="preserve">Authenticated, verified coach</w:t>
            </w:r>
          </w:p>
        </w:tc>
        <w:tc>
          <w:tcPr>
            <w:tcW w:type="dxa" w:w="3700"/>
            <w:tcMar>
              <w:top w:type="dxa" w:w="80"/>
              <w:left w:type="dxa" w:w="120"/>
              <w:bottom w:type="dxa" w:w="80"/>
              <w:right w:type="dxa" w:w="120"/>
            </w:tcMar>
          </w:tcPr>
          <w:p>
            <w:r>
              <w:rPr>
                <w:rFonts w:ascii="Calibri" w:cs="Calibri" w:eastAsia="Calibri" w:hAnsi="Calibri"/>
                <w:b w:val="false"/>
                <w:bCs w:val="false"/>
                <w:color w:val="000000"/>
                <w:sz w:val="19"/>
                <w:szCs w:val="19"/>
              </w:rPr>
              <w:t xml:space="preserve">Academy profile, paginated player roster, paginated review queue. Returns 403 with an application-status reason if the coach is not yet verified.</w:t>
            </w:r>
          </w:p>
        </w:tc>
      </w:tr>
      <w:tr>
        <w:tc>
          <w:tcPr>
            <w:tcW w:type="dxa" w:w="2600"/>
            <w:tcMar>
              <w:top w:type="dxa" w:w="80"/>
              <w:left w:type="dxa" w:w="120"/>
              <w:bottom w:type="dxa" w:w="80"/>
              <w:right w:type="dxa" w:w="120"/>
            </w:tcMar>
          </w:tcPr>
          <w:p>
            <w:r>
              <w:rPr>
                <w:rFonts w:ascii="Calibri" w:cs="Calibri" w:eastAsia="Calibri" w:hAnsi="Calibri"/>
                <w:b w:val="false"/>
                <w:bCs w:val="false"/>
                <w:color w:val="000000"/>
                <w:sz w:val="19"/>
                <w:szCs w:val="19"/>
              </w:rPr>
              <w:t xml:space="preserve">/api/v2/coach/applications/</w:t>
            </w:r>
          </w:p>
        </w:tc>
        <w:tc>
          <w:tcPr>
            <w:tcW w:type="dxa" w:w="900"/>
            <w:tcMar>
              <w:top w:type="dxa" w:w="80"/>
              <w:left w:type="dxa" w:w="120"/>
              <w:bottom w:type="dxa" w:w="80"/>
              <w:right w:type="dxa" w:w="120"/>
            </w:tcMar>
          </w:tcPr>
          <w:p>
            <w:r>
              <w:rPr>
                <w:rFonts w:ascii="Calibri" w:cs="Calibri" w:eastAsia="Calibri" w:hAnsi="Calibri"/>
                <w:b w:val="false"/>
                <w:bCs w:val="false"/>
                <w:color w:val="000000"/>
                <w:sz w:val="19"/>
                <w:szCs w:val="19"/>
              </w:rPr>
              <w:t xml:space="preserve">GET</w:t>
            </w:r>
          </w:p>
        </w:tc>
        <w:tc>
          <w:tcPr>
            <w:tcW w:type="dxa" w:w="2200"/>
            <w:tcMar>
              <w:top w:type="dxa" w:w="80"/>
              <w:left w:type="dxa" w:w="120"/>
              <w:bottom w:type="dxa" w:w="80"/>
              <w:right w:type="dxa" w:w="120"/>
            </w:tcMar>
          </w:tcPr>
          <w:p>
            <w:r>
              <w:rPr>
                <w:rFonts w:ascii="Calibri" w:cs="Calibri" w:eastAsia="Calibri" w:hAnsi="Calibri"/>
                <w:b w:val="false"/>
                <w:bCs w:val="false"/>
                <w:color w:val="000000"/>
                <w:sz w:val="19"/>
                <w:szCs w:val="19"/>
              </w:rPr>
              <w:t xml:space="preserve">Admin review surface only</w:t>
            </w:r>
          </w:p>
        </w:tc>
        <w:tc>
          <w:tcPr>
            <w:tcW w:type="dxa" w:w="3700"/>
            <w:tcMar>
              <w:top w:type="dxa" w:w="80"/>
              <w:left w:type="dxa" w:w="120"/>
              <w:bottom w:type="dxa" w:w="80"/>
              <w:right w:type="dxa" w:w="120"/>
            </w:tcMar>
          </w:tcPr>
          <w:p>
            <w:r>
              <w:rPr>
                <w:rFonts w:ascii="Calibri" w:cs="Calibri" w:eastAsia="Calibri" w:hAnsi="Calibri"/>
                <w:b w:val="false"/>
                <w:bCs w:val="false"/>
                <w:color w:val="000000"/>
                <w:sz w:val="19"/>
                <w:szCs w:val="19"/>
              </w:rPr>
              <w:t xml:space="preserve">List pending CoachApplication records.</w:t>
            </w:r>
          </w:p>
        </w:tc>
      </w:tr>
      <w:tr>
        <w:tc>
          <w:tcPr>
            <w:tcW w:type="dxa" w:w="2600"/>
            <w:tcMar>
              <w:top w:type="dxa" w:w="80"/>
              <w:left w:type="dxa" w:w="120"/>
              <w:bottom w:type="dxa" w:w="80"/>
              <w:right w:type="dxa" w:w="120"/>
            </w:tcMar>
          </w:tcPr>
          <w:p>
            <w:r>
              <w:rPr>
                <w:rFonts w:ascii="Calibri" w:cs="Calibri" w:eastAsia="Calibri" w:hAnsi="Calibri"/>
                <w:b w:val="false"/>
                <w:bCs w:val="false"/>
                <w:color w:val="000000"/>
                <w:sz w:val="19"/>
                <w:szCs w:val="19"/>
              </w:rPr>
              <w:t xml:space="preserve">/api/v2/coach/applications/{id}/approve/</w:t>
            </w:r>
          </w:p>
        </w:tc>
        <w:tc>
          <w:tcPr>
            <w:tcW w:type="dxa" w:w="900"/>
            <w:tcMar>
              <w:top w:type="dxa" w:w="80"/>
              <w:left w:type="dxa" w:w="120"/>
              <w:bottom w:type="dxa" w:w="80"/>
              <w:right w:type="dxa" w:w="120"/>
            </w:tcMar>
          </w:tcPr>
          <w:p>
            <w:r>
              <w:rPr>
                <w:rFonts w:ascii="Calibri" w:cs="Calibri" w:eastAsia="Calibri" w:hAnsi="Calibri"/>
                <w:b w:val="false"/>
                <w:bCs w:val="false"/>
                <w:color w:val="000000"/>
                <w:sz w:val="19"/>
                <w:szCs w:val="19"/>
              </w:rPr>
              <w:t xml:space="preserve">POST</w:t>
            </w:r>
          </w:p>
        </w:tc>
        <w:tc>
          <w:tcPr>
            <w:tcW w:type="dxa" w:w="2200"/>
            <w:tcMar>
              <w:top w:type="dxa" w:w="80"/>
              <w:left w:type="dxa" w:w="120"/>
              <w:bottom w:type="dxa" w:w="80"/>
              <w:right w:type="dxa" w:w="120"/>
            </w:tcMar>
          </w:tcPr>
          <w:p>
            <w:r>
              <w:rPr>
                <w:rFonts w:ascii="Calibri" w:cs="Calibri" w:eastAsia="Calibri" w:hAnsi="Calibri"/>
                <w:b w:val="false"/>
                <w:bCs w:val="false"/>
                <w:color w:val="000000"/>
                <w:sz w:val="19"/>
                <w:szCs w:val="19"/>
              </w:rPr>
              <w:t xml:space="preserve">Admin review surface only</w:t>
            </w:r>
          </w:p>
        </w:tc>
        <w:tc>
          <w:tcPr>
            <w:tcW w:type="dxa" w:w="3700"/>
            <w:tcMar>
              <w:top w:type="dxa" w:w="80"/>
              <w:left w:type="dxa" w:w="120"/>
              <w:bottom w:type="dxa" w:w="80"/>
              <w:right w:type="dxa" w:w="120"/>
            </w:tcMar>
          </w:tcPr>
          <w:p>
            <w:r>
              <w:rPr>
                <w:rFonts w:ascii="Calibri" w:cs="Calibri" w:eastAsia="Calibri" w:hAnsi="Calibri"/>
                <w:b w:val="false"/>
                <w:bCs w:val="false"/>
                <w:color w:val="000000"/>
                <w:sz w:val="19"/>
                <w:szCs w:val="19"/>
              </w:rPr>
              <w:t xml:space="preserve">Approve a coach application, setting Academy.is_verified.</w:t>
            </w:r>
          </w:p>
        </w:tc>
      </w:tr>
      <w:tr>
        <w:tc>
          <w:tcPr>
            <w:tcW w:type="dxa" w:w="2600"/>
            <w:tcMar>
              <w:top w:type="dxa" w:w="80"/>
              <w:left w:type="dxa" w:w="120"/>
              <w:bottom w:type="dxa" w:w="80"/>
              <w:right w:type="dxa" w:w="120"/>
            </w:tcMar>
          </w:tcPr>
          <w:p>
            <w:r>
              <w:rPr>
                <w:rFonts w:ascii="Calibri" w:cs="Calibri" w:eastAsia="Calibri" w:hAnsi="Calibri"/>
                <w:b w:val="false"/>
                <w:bCs w:val="false"/>
                <w:color w:val="000000"/>
                <w:sz w:val="19"/>
                <w:szCs w:val="19"/>
              </w:rPr>
              <w:t xml:space="preserve">/api/v2/health/</w:t>
            </w:r>
          </w:p>
        </w:tc>
        <w:tc>
          <w:tcPr>
            <w:tcW w:type="dxa" w:w="900"/>
            <w:tcMar>
              <w:top w:type="dxa" w:w="80"/>
              <w:left w:type="dxa" w:w="120"/>
              <w:bottom w:type="dxa" w:w="80"/>
              <w:right w:type="dxa" w:w="120"/>
            </w:tcMar>
          </w:tcPr>
          <w:p>
            <w:r>
              <w:rPr>
                <w:rFonts w:ascii="Calibri" w:cs="Calibri" w:eastAsia="Calibri" w:hAnsi="Calibri"/>
                <w:b w:val="false"/>
                <w:bCs w:val="false"/>
                <w:color w:val="000000"/>
                <w:sz w:val="19"/>
                <w:szCs w:val="19"/>
              </w:rPr>
              <w:t xml:space="preserve">GET</w:t>
            </w:r>
          </w:p>
        </w:tc>
        <w:tc>
          <w:tcPr>
            <w:tcW w:type="dxa" w:w="2200"/>
            <w:tcMar>
              <w:top w:type="dxa" w:w="80"/>
              <w:left w:type="dxa" w:w="120"/>
              <w:bottom w:type="dxa" w:w="80"/>
              <w:right w:type="dxa" w:w="120"/>
            </w:tcMar>
          </w:tcPr>
          <w:p>
            <w:r>
              <w:rPr>
                <w:rFonts w:ascii="Calibri" w:cs="Calibri" w:eastAsia="Calibri" w:hAnsi="Calibri"/>
                <w:b w:val="false"/>
                <w:bCs w:val="false"/>
                <w:color w:val="000000"/>
                <w:sz w:val="19"/>
                <w:szCs w:val="19"/>
              </w:rPr>
              <w:t xml:space="preserve">Public</w:t>
            </w:r>
          </w:p>
        </w:tc>
        <w:tc>
          <w:tcPr>
            <w:tcW w:type="dxa" w:w="3700"/>
            <w:tcMar>
              <w:top w:type="dxa" w:w="80"/>
              <w:left w:type="dxa" w:w="120"/>
              <w:bottom w:type="dxa" w:w="80"/>
              <w:right w:type="dxa" w:w="120"/>
            </w:tcMar>
          </w:tcPr>
          <w:p>
            <w:r>
              <w:rPr>
                <w:rFonts w:ascii="Calibri" w:cs="Calibri" w:eastAsia="Calibri" w:hAnsi="Calibri"/>
                <w:b w:val="false"/>
                <w:bCs w:val="false"/>
                <w:color w:val="000000"/>
                <w:sz w:val="19"/>
                <w:szCs w:val="19"/>
              </w:rPr>
              <w:t xml:space="preserve">Liveness and readiness (database and task-queue connectivity). New in V2 — closes the V1 gap.</w:t>
            </w:r>
          </w:p>
        </w:tc>
      </w:tr>
    </w:tbl>
    <w:p>
      <w:r>
        <w:br w:type="page"/>
      </w:r>
    </w:p>
    <w:p>
      <w:pPr>
        <w:pStyle w:val="Heading1"/>
        <w:spacing w:after="160" w:before="360"/>
      </w:pPr>
      <w:r>
        <w:t xml:space="preserve">15. Appendix: Frozen Decisions Log</w:t>
      </w:r>
    </w:p>
    <w:p>
      <w:pPr>
        <w:spacing w:after="160" w:line="276"/>
      </w:pPr>
      <w:r>
        <w:rPr>
          <w:rFonts w:ascii="Calibri" w:cs="Calibri" w:eastAsia="Calibri" w:hAnsi="Calibri"/>
          <w:sz w:val="22"/>
          <w:szCs w:val="22"/>
        </w:rPr>
        <w:t xml:space="preserve">Traceability from this specification's decisions back to the review that produced them — every entry below was reasoned through, not asserted.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1F3B57" w:val="clear"/>
            <w:tcMar>
              <w:top w:type="dxa" w:w="80"/>
              <w:left w:type="dxa" w:w="120"/>
              <w:bottom w:type="dxa" w:w="80"/>
              <w:right w:type="dxa" w:w="120"/>
            </w:tcMar>
          </w:tcPr>
          <w:p>
            <w:r>
              <w:rPr>
                <w:rFonts w:ascii="Calibri" w:cs="Calibri" w:eastAsia="Calibri" w:hAnsi="Calibri"/>
                <w:b/>
                <w:bCs/>
                <w:color w:val="FFFFFF"/>
                <w:sz w:val="19"/>
                <w:szCs w:val="19"/>
              </w:rPr>
              <w:t xml:space="preserve">Decision</w:t>
            </w:r>
          </w:p>
        </w:tc>
        <w:tc>
          <w:tcPr>
            <w:tcW w:type="dxa" w:w="4700"/>
            <w:shd w:fill="1F3B57" w:val="clear"/>
            <w:tcMar>
              <w:top w:type="dxa" w:w="80"/>
              <w:left w:type="dxa" w:w="120"/>
              <w:bottom w:type="dxa" w:w="80"/>
              <w:right w:type="dxa" w:w="120"/>
            </w:tcMar>
          </w:tcPr>
          <w:p>
            <w:r>
              <w:rPr>
                <w:rFonts w:ascii="Calibri" w:cs="Calibri" w:eastAsia="Calibri" w:hAnsi="Calibri"/>
                <w:b/>
                <w:bCs/>
                <w:color w:val="FFFFFF"/>
                <w:sz w:val="19"/>
                <w:szCs w:val="19"/>
              </w:rPr>
              <w:t xml:space="preserve">Origin</w:t>
            </w:r>
          </w:p>
        </w:tc>
      </w:tr>
      <w:tr>
        <w:tc>
          <w:tcPr>
            <w:tcW w:type="dxa" w:w="4700"/>
            <w:tcMar>
              <w:top w:type="dxa" w:w="80"/>
              <w:left w:type="dxa" w:w="120"/>
              <w:bottom w:type="dxa" w:w="80"/>
              <w:right w:type="dxa" w:w="120"/>
            </w:tcMar>
          </w:tcPr>
          <w:p>
            <w:r>
              <w:rPr>
                <w:rFonts w:ascii="Calibri" w:cs="Calibri" w:eastAsia="Calibri" w:hAnsi="Calibri"/>
                <w:b w:val="false"/>
                <w:bCs w:val="false"/>
                <w:color w:val="000000"/>
                <w:sz w:val="19"/>
                <w:szCs w:val="19"/>
              </w:rPr>
              <w:t xml:space="preserve">Async inference via Celery/Redis, decoupled from the request cycle</w:t>
            </w:r>
          </w:p>
        </w:tc>
        <w:tc>
          <w:tcPr>
            <w:tcW w:type="dxa" w:w="4700"/>
            <w:tcMar>
              <w:top w:type="dxa" w:w="80"/>
              <w:left w:type="dxa" w:w="120"/>
              <w:bottom w:type="dxa" w:w="80"/>
              <w:right w:type="dxa" w:w="120"/>
            </w:tcMar>
          </w:tcPr>
          <w:p>
            <w:r>
              <w:rPr>
                <w:rFonts w:ascii="Calibri" w:cs="Calibri" w:eastAsia="Calibri" w:hAnsi="Calibri"/>
                <w:b w:val="false"/>
                <w:bCs w:val="false"/>
                <w:color w:val="000000"/>
                <w:sz w:val="19"/>
                <w:szCs w:val="19"/>
              </w:rPr>
              <w:t xml:space="preserve">Infrastructure review at hypothetical 5M-user scale — identified as the hardest, non-negotiable ceiling in the V1 system</w:t>
            </w:r>
          </w:p>
        </w:tc>
      </w:tr>
      <w:tr>
        <w:tc>
          <w:tcPr>
            <w:tcW w:type="dxa" w:w="4700"/>
            <w:tcMar>
              <w:top w:type="dxa" w:w="80"/>
              <w:left w:type="dxa" w:w="120"/>
              <w:bottom w:type="dxa" w:w="80"/>
              <w:right w:type="dxa" w:w="120"/>
            </w:tcMar>
          </w:tcPr>
          <w:p>
            <w:r>
              <w:rPr>
                <w:rFonts w:ascii="Calibri" w:cs="Calibri" w:eastAsia="Calibri" w:hAnsi="Calibri"/>
                <w:b w:val="false"/>
                <w:bCs w:val="false"/>
                <w:color w:val="000000"/>
                <w:sz w:val="19"/>
                <w:szCs w:val="19"/>
              </w:rPr>
              <w:t xml:space="preserve">PostgreSQL mandatory in every environment, including local dev</w:t>
            </w:r>
          </w:p>
        </w:tc>
        <w:tc>
          <w:tcPr>
            <w:tcW w:type="dxa" w:w="4700"/>
            <w:tcMar>
              <w:top w:type="dxa" w:w="80"/>
              <w:left w:type="dxa" w:w="120"/>
              <w:bottom w:type="dxa" w:w="80"/>
              <w:right w:type="dxa" w:w="120"/>
            </w:tcMar>
          </w:tcPr>
          <w:p>
            <w:r>
              <w:rPr>
                <w:rFonts w:ascii="Calibri" w:cs="Calibri" w:eastAsia="Calibri" w:hAnsi="Calibri"/>
                <w:b w:val="false"/>
                <w:bCs w:val="false"/>
                <w:color w:val="000000"/>
                <w:sz w:val="19"/>
                <w:szCs w:val="19"/>
              </w:rPr>
              <w:t xml:space="preserve">Same review — SQLite identified as blocking concurrent writers at any multi-process scale, not only at large scale</w:t>
            </w:r>
          </w:p>
        </w:tc>
      </w:tr>
      <w:tr>
        <w:tc>
          <w:tcPr>
            <w:tcW w:type="dxa" w:w="4700"/>
            <w:tcMar>
              <w:top w:type="dxa" w:w="80"/>
              <w:left w:type="dxa" w:w="120"/>
              <w:bottom w:type="dxa" w:w="80"/>
              <w:right w:type="dxa" w:w="120"/>
            </w:tcMar>
          </w:tcPr>
          <w:p>
            <w:r>
              <w:rPr>
                <w:rFonts w:ascii="Calibri" w:cs="Calibri" w:eastAsia="Calibri" w:hAnsi="Calibri"/>
                <w:b w:val="false"/>
                <w:bCs w:val="false"/>
                <w:color w:val="000000"/>
                <w:sz w:val="19"/>
                <w:szCs w:val="19"/>
              </w:rPr>
              <w:t xml:space="preserve">Zero-storage re-specified as an infrastructure TTL, not application try/finally</w:t>
            </w:r>
          </w:p>
        </w:tc>
        <w:tc>
          <w:tcPr>
            <w:tcW w:type="dxa" w:w="4700"/>
            <w:tcMar>
              <w:top w:type="dxa" w:w="80"/>
              <w:left w:type="dxa" w:w="120"/>
              <w:bottom w:type="dxa" w:w="80"/>
              <w:right w:type="dxa" w:w="120"/>
            </w:tcMar>
          </w:tcPr>
          <w:p>
            <w:r>
              <w:rPr>
                <w:rFonts w:ascii="Calibri" w:cs="Calibri" w:eastAsia="Calibri" w:hAnsi="Calibri"/>
                <w:b w:val="false"/>
                <w:bCs w:val="false"/>
                <w:color w:val="000000"/>
                <w:sz w:val="19"/>
                <w:szCs w:val="19"/>
              </w:rPr>
              <w:t xml:space="preserve">Same review — the V1 crash-before-cleanup edge case identified as a routine occurrence at scale, requiring an infra-level guarantee</w:t>
            </w:r>
          </w:p>
        </w:tc>
      </w:tr>
      <w:tr>
        <w:tc>
          <w:tcPr>
            <w:tcW w:type="dxa" w:w="4700"/>
            <w:tcMar>
              <w:top w:type="dxa" w:w="80"/>
              <w:left w:type="dxa" w:w="120"/>
              <w:bottom w:type="dxa" w:w="80"/>
              <w:right w:type="dxa" w:w="120"/>
            </w:tcMar>
          </w:tcPr>
          <w:p>
            <w:r>
              <w:rPr>
                <w:rFonts w:ascii="Calibri" w:cs="Calibri" w:eastAsia="Calibri" w:hAnsi="Calibri"/>
                <w:b w:val="false"/>
                <w:bCs w:val="false"/>
                <w:color w:val="000000"/>
                <w:sz w:val="19"/>
                <w:szCs w:val="19"/>
              </w:rPr>
              <w:t xml:space="preserve">Confidence-Gated Temporal Attention; Wrist-Speed-Guided Sampling; Stance-Symmetry-Aware Confidence; Counterfactual Drill Simulation; Leave-One-Phase-Out Disagreement Signal; Disagreement-Triggered Active Labeling; Pre-Flight Capture Quality Gate</w:t>
            </w:r>
          </w:p>
        </w:tc>
        <w:tc>
          <w:tcPr>
            <w:tcW w:type="dxa" w:w="4700"/>
            <w:tcMar>
              <w:top w:type="dxa" w:w="80"/>
              <w:left w:type="dxa" w:w="120"/>
              <w:bottom w:type="dxa" w:w="80"/>
              <w:right w:type="dxa" w:w="120"/>
            </w:tcMar>
          </w:tcPr>
          <w:p>
            <w:r>
              <w:rPr>
                <w:rFonts w:ascii="Calibri" w:cs="Calibri" w:eastAsia="Calibri" w:hAnsi="Calibri"/>
                <w:b w:val="false"/>
                <w:bCs w:val="false"/>
                <w:color w:val="000000"/>
                <w:sz w:val="19"/>
                <w:szCs w:val="19"/>
              </w:rPr>
              <w:t xml:space="preserve">V2 invention review — ranked by novelty, research value, implementation time, expected accuracy gain, and publication potential; all six adopted here were the highest-ranked items whose dependencies (see below) allow them to ship inside the six-month implementation budget</w:t>
            </w:r>
          </w:p>
        </w:tc>
      </w:tr>
      <w:tr>
        <w:tc>
          <w:tcPr>
            <w:tcW w:type="dxa" w:w="4700"/>
            <w:tcMar>
              <w:top w:type="dxa" w:w="80"/>
              <w:left w:type="dxa" w:w="120"/>
              <w:bottom w:type="dxa" w:w="80"/>
              <w:right w:type="dxa" w:w="120"/>
            </w:tcMar>
          </w:tcPr>
          <w:p>
            <w:r>
              <w:rPr>
                <w:rFonts w:ascii="Calibri" w:cs="Calibri" w:eastAsia="Calibri" w:hAnsi="Calibri"/>
                <w:b w:val="false"/>
                <w:bCs w:val="false"/>
                <w:color w:val="000000"/>
                <w:sz w:val="19"/>
                <w:szCs w:val="19"/>
              </w:rPr>
              <w:t xml:space="preserve">Personal Baseline Drift retained as lower priority; Drill Efficacy Feedback Loop instrumented but its result explicitly deferred</w:t>
            </w:r>
          </w:p>
        </w:tc>
        <w:tc>
          <w:tcPr>
            <w:tcW w:type="dxa" w:w="4700"/>
            <w:tcMar>
              <w:top w:type="dxa" w:w="80"/>
              <w:left w:type="dxa" w:w="120"/>
              <w:bottom w:type="dxa" w:w="80"/>
              <w:right w:type="dxa" w:w="120"/>
            </w:tcMar>
          </w:tcPr>
          <w:p>
            <w:r>
              <w:rPr>
                <w:rFonts w:ascii="Calibri" w:cs="Calibri" w:eastAsia="Calibri" w:hAnsi="Calibri"/>
                <w:b w:val="false"/>
                <w:bCs w:val="false"/>
                <w:color w:val="000000"/>
                <w:sz w:val="19"/>
                <w:szCs w:val="19"/>
              </w:rPr>
              <w:t xml:space="preserve">Same review — both correctly assessed as needing longitudinal usage data before they produce a measurable finding, not as ideas to abandon</w:t>
            </w:r>
          </w:p>
        </w:tc>
      </w:tr>
      <w:tr>
        <w:tc>
          <w:tcPr>
            <w:tcW w:type="dxa" w:w="4700"/>
            <w:tcMar>
              <w:top w:type="dxa" w:w="80"/>
              <w:left w:type="dxa" w:w="120"/>
              <w:bottom w:type="dxa" w:w="80"/>
              <w:right w:type="dxa" w:w="120"/>
            </w:tcMar>
          </w:tcPr>
          <w:p>
            <w:r>
              <w:rPr>
                <w:rFonts w:ascii="Calibri" w:cs="Calibri" w:eastAsia="Calibri" w:hAnsi="Calibri"/>
                <w:b w:val="false"/>
                <w:bCs w:val="false"/>
                <w:color w:val="000000"/>
                <w:sz w:val="19"/>
                <w:szCs w:val="19"/>
              </w:rPr>
              <w:t xml:space="preserve">Single source of truth for feature schema and the attention layer; no duplicate inference implementation; no duplicate frontend component files</w:t>
            </w:r>
          </w:p>
        </w:tc>
        <w:tc>
          <w:tcPr>
            <w:tcW w:type="dxa" w:w="4700"/>
            <w:tcMar>
              <w:top w:type="dxa" w:w="80"/>
              <w:left w:type="dxa" w:w="120"/>
              <w:bottom w:type="dxa" w:w="80"/>
              <w:right w:type="dxa" w:w="120"/>
            </w:tcMar>
          </w:tcPr>
          <w:p>
            <w:r>
              <w:rPr>
                <w:rFonts w:ascii="Calibri" w:cs="Calibri" w:eastAsia="Calibri" w:hAnsi="Calibri"/>
                <w:b w:val="false"/>
                <w:bCs w:val="false"/>
                <w:color w:val="000000"/>
                <w:sz w:val="19"/>
                <w:szCs w:val="19"/>
              </w:rPr>
              <w:t xml:space="preserve">V1 architecture/technical-debt audit — the largest concrete maintainability finding in that review</w:t>
            </w:r>
          </w:p>
        </w:tc>
      </w:tr>
      <w:tr>
        <w:tc>
          <w:tcPr>
            <w:tcW w:type="dxa" w:w="4700"/>
            <w:tcMar>
              <w:top w:type="dxa" w:w="80"/>
              <w:left w:type="dxa" w:w="120"/>
              <w:bottom w:type="dxa" w:w="80"/>
              <w:right w:type="dxa" w:w="120"/>
            </w:tcMar>
          </w:tcPr>
          <w:p>
            <w:r>
              <w:rPr>
                <w:rFonts w:ascii="Calibri" w:cs="Calibri" w:eastAsia="Calibri" w:hAnsi="Calibri"/>
                <w:b w:val="false"/>
                <w:bCs w:val="false"/>
                <w:color w:val="000000"/>
                <w:sz w:val="19"/>
                <w:szCs w:val="19"/>
              </w:rPr>
              <w:t xml:space="preserve">Global default-deny permissions; mandatory pagination; explicit serializer fields; coach verification workflow; health-check endpoint; token blacklisting</w:t>
            </w:r>
          </w:p>
        </w:tc>
        <w:tc>
          <w:tcPr>
            <w:tcW w:type="dxa" w:w="4700"/>
            <w:tcMar>
              <w:top w:type="dxa" w:w="80"/>
              <w:left w:type="dxa" w:w="120"/>
              <w:bottom w:type="dxa" w:w="80"/>
              <w:right w:type="dxa" w:w="120"/>
            </w:tcMar>
          </w:tcPr>
          <w:p>
            <w:r>
              <w:rPr>
                <w:rFonts w:ascii="Calibri" w:cs="Calibri" w:eastAsia="Calibri" w:hAnsi="Calibri"/>
                <w:b w:val="false"/>
                <w:bCs w:val="false"/>
                <w:color w:val="000000"/>
                <w:sz w:val="19"/>
                <w:szCs w:val="19"/>
              </w:rPr>
              <w:t xml:space="preserve">V1 architecture/production-risk audit — each item traced to a specific, named gap found in that review</w:t>
            </w:r>
          </w:p>
        </w:tc>
      </w:tr>
      <w:tr>
        <w:tc>
          <w:tcPr>
            <w:tcW w:type="dxa" w:w="4700"/>
            <w:tcMar>
              <w:top w:type="dxa" w:w="80"/>
              <w:left w:type="dxa" w:w="120"/>
              <w:bottom w:type="dxa" w:w="80"/>
              <w:right w:type="dxa" w:w="120"/>
            </w:tcMar>
          </w:tcPr>
          <w:p>
            <w:r>
              <w:rPr>
                <w:rFonts w:ascii="Calibri" w:cs="Calibri" w:eastAsia="Calibri" w:hAnsi="Calibri"/>
                <w:b w:val="false"/>
                <w:bCs w:val="false"/>
                <w:color w:val="000000"/>
                <w:sz w:val="19"/>
                <w:szCs w:val="19"/>
              </w:rPr>
              <w:t xml:space="preserve">Unified single evaluation protocol; mandatory rank correlation, significance testing, and a trivial baseline</w:t>
            </w:r>
          </w:p>
        </w:tc>
        <w:tc>
          <w:tcPr>
            <w:tcW w:type="dxa" w:w="4700"/>
            <w:tcMar>
              <w:top w:type="dxa" w:w="80"/>
              <w:left w:type="dxa" w:w="120"/>
              <w:bottom w:type="dxa" w:w="80"/>
              <w:right w:type="dxa" w:w="120"/>
            </w:tcMar>
          </w:tcPr>
          <w:p>
            <w:r>
              <w:rPr>
                <w:rFonts w:ascii="Calibri" w:cs="Calibri" w:eastAsia="Calibri" w:hAnsi="Calibri"/>
                <w:b w:val="false"/>
                <w:bCs w:val="false"/>
                <w:color w:val="000000"/>
                <w:sz w:val="19"/>
                <w:szCs w:val="19"/>
              </w:rPr>
              <w:t xml:space="preserve">Publication-readiness review — identified as prerequisites without which no other reported metric in the system is defensible</w:t>
            </w:r>
          </w:p>
        </w:tc>
      </w:tr>
    </w:tbl>
    <w:p>
      <w:pPr>
        <w:spacing w:after="160" w:line="276"/>
      </w:pPr>
      <w:r>
        <w:rPr>
          <w:rFonts w:ascii="Calibri" w:cs="Calibri" w:eastAsia="Calibri" w:hAnsi="Calibri"/>
          <w:sz w:val="22"/>
          <w:szCs w:val="22"/>
        </w:rPr>
        <w:t xml:space="preserve">This specification is now frozen. Implementation proceeds against the sections above; any proposed deviation is a new specification revision, not a discretionary judgment call made during implementation.</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SuhasVision V2 — Official Architecture Specification (FROZEN)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B57"/>
      <w:sz w:val="32"/>
      <w:szCs w:val="32"/>
    </w:rPr>
  </w:style>
  <w:style w:type="paragraph" w:styleId="Heading2">
    <w:name w:val="Heading 2"/>
    <w:basedOn w:val="Normal"/>
    <w:next w:val="Normal"/>
    <w:qFormat/>
    <w:pPr>
      <w:spacing w:after="120" w:before="280"/>
    </w:pPr>
    <w:rPr>
      <w:rFonts w:ascii="Calibri" w:cs="Calibri" w:eastAsia="Calibri" w:hAnsi="Calibri"/>
      <w:b/>
      <w:bCs/>
      <w:color w:val="1F3B57"/>
      <w:sz w:val="26"/>
      <w:szCs w:val="26"/>
    </w:rPr>
  </w:style>
  <w:style w:type="paragraph" w:styleId="Heading3">
    <w:name w:val="Heading 3"/>
    <w:basedOn w:val="Normal"/>
    <w:next w:val="Normal"/>
    <w:qFormat/>
    <w:pPr>
      <w:spacing w:after="100" w:before="200"/>
    </w:pPr>
    <w:rPr>
      <w:rFonts w:ascii="Calibri" w:cs="Calibri" w:eastAsia="Calibri" w:hAnsi="Calibri"/>
      <w:b/>
      <w:bCs/>
      <w:color w:val="2E5478"/>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2026-07-17T18:06:24.085Z</dcterms:created>
  <dcterms:modified xsi:type="dcterms:W3CDTF">2026-07-17T18:06:24.086Z</dcterms:modified>
</cp:coreProperties>
</file>

<file path=docProps/custom.xml><?xml version="1.0" encoding="utf-8"?>
<Properties xmlns="http://schemas.openxmlformats.org/officeDocument/2006/custom-properties" xmlns:vt="http://schemas.openxmlformats.org/officeDocument/2006/docPropsVTypes"/>
</file>