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ПОРТФОЛИО  ·  QA-ДОКУМЕНТАЦИЯ</w:t>
      </w:r>
    </w:p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F2933"/>
          <w:sz w:val="52"/>
          <w:szCs w:val="52"/>
        </w:rPr>
        <w:t xml:space="preserve">Примеры QA-документации</w:t>
      </w:r>
    </w:p>
    <w:p>
      <w:pPr>
        <w:spacing w:after="240"/>
      </w:pPr>
      <w:r>
        <w:rPr>
          <w:rFonts w:ascii="Calibri" w:cs="Calibri" w:eastAsia="Calibri" w:hAnsi="Calibri"/>
          <w:color w:val="5B6770"/>
          <w:sz w:val="24"/>
          <w:szCs w:val="24"/>
        </w:rPr>
        <w:t xml:space="preserve">Денис Курчиков, QA-инженер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  <w:tblLayout w:type="fixed"/>
      </w:tblPr>
      <w:tblGrid>
        <w:gridCol w:w="3212"/>
        <w:gridCol w:w="3212"/>
        <w:gridCol w:w="3214"/>
      </w:tblGrid>
      <w:tr>
        <w:tc>
          <w:tcPr>
            <w:tcW w:type="dxa" w:w="3212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30"/>
                <w:szCs w:val="30"/>
              </w:rPr>
              <w:t xml:space="preserve">Баг-репорт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полный набор атрибутов</w:t>
            </w:r>
          </w:p>
        </w:tc>
        <w:tc>
          <w:tcPr>
            <w:tcW w:type="dxa" w:w="3212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30"/>
                <w:szCs w:val="30"/>
              </w:rPr>
              <w:t xml:space="preserve">Чек-лист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пять уровней серьёзности</w:t>
            </w:r>
          </w:p>
        </w:tc>
        <w:tc>
          <w:tcPr>
            <w:tcW w:type="dxa" w:w="3214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30"/>
                <w:szCs w:val="30"/>
              </w:rPr>
              <w:t xml:space="preserve">Тест-кейсы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четыре уровня приоритета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bottom w:val="single" w:color="1B5E6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О документе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Три примера того, как я оформляю основные виды тестовой документации: баг-репорт, чек-лист и тест-кейсы. Проекты, функционал и данные во всех примерах вымышленные: документ показывает формат, структуру и логику оценки серьёзности и приоритета, а не реальные находки.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Шкалы серьёзности и приоритета едины для всех примеров и приведены перед чек-листом и тест-кейсами.</w:t>
      </w:r>
    </w:p>
    <w:p>
      <w:pPr>
        <w:keepNext/>
        <w:spacing w:after="60" w:before="4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ПРИМЕР 1</w:t>
      </w:r>
    </w:p>
    <w:p>
      <w:pPr>
        <w:pStyle w:val="Heading2"/>
        <w:keepNext/>
        <w:spacing w:after="120"/>
      </w:pPr>
      <w:r>
        <w:rPr>
          <w:rFonts w:ascii="Calibri" w:cs="Calibri" w:eastAsia="Calibri" w:hAnsi="Calibri"/>
          <w:b/>
          <w:bCs/>
          <w:color w:val="1F2933"/>
          <w:sz w:val="36"/>
          <w:szCs w:val="36"/>
        </w:rPr>
        <w:t xml:space="preserve">Баг-репорт</w:t>
      </w:r>
    </w:p>
    <w:p>
      <w:pPr>
        <w:keepNext/>
        <w:spacing w:after="200" w:line="288"/>
      </w:pPr>
      <w:r>
        <w:rPr>
          <w:rFonts w:ascii="Calibri" w:cs="Calibri" w:eastAsia="Calibri" w:hAnsi="Calibri"/>
          <w:color w:val="5B6770"/>
        </w:rPr>
        <w:t xml:space="preserve">Полный набор атрибутов: от шагов воспроизведения до окружения и вложений. Серьёзность и приоритет указаны отдельно и с обоснованием.</w:t>
      </w: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FBE4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BUG-001.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Начисляются кредиты вместо списания кристаллов при покупке услуги «Экспресс-починка»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Проект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Outland: Frontier (вымышленный)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Предусловие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 балансе 100+ кристаллов (премиум-валюта)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Шаги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Запустить клиент.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Открыть ангар.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Нажать «Экспресс-починка».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4) Запомнить количество кристаллов и кредитов.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5) Купить услугу за 50 кристаллов.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6) Сравнить количество кристаллов и кредитов.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Кристаллов стало на 50 меньше, количество кредитов не изменилось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Фактический результат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Количество кристаллов не изменилось, кредитов стало на 50 больше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Частота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3 из 3 попыток (стабильно)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Серьёзность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Критическая: премиум-услуга выдаётся бесплатно, и дополнительно начисляется валюта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Критический: механику можно использовать для бесконечного получения валюты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Билд, окружение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Билд 13.0.1; Windows 11 (64-bit), Intel Core i7-12700K, NVIDIA GeForce RTX 3070, 32 GB DDR4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Вложения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balance_before.png, balance_after.png, repro_video.mp4</w:t>
            </w:r>
          </w:p>
        </w:tc>
      </w:tr>
    </w:tbl>
    <w:p>
      <w:pPr>
        <w:keepNext/>
        <w:spacing w:after="60" w:before="4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ПРИМЕР 2</w:t>
      </w:r>
    </w:p>
    <w:p>
      <w:pPr>
        <w:pStyle w:val="Heading2"/>
        <w:keepNext/>
        <w:spacing w:after="120"/>
      </w:pPr>
      <w:r>
        <w:rPr>
          <w:rFonts w:ascii="Calibri" w:cs="Calibri" w:eastAsia="Calibri" w:hAnsi="Calibri"/>
          <w:b/>
          <w:bCs/>
          <w:color w:val="1F2933"/>
          <w:sz w:val="36"/>
          <w:szCs w:val="36"/>
        </w:rPr>
        <w:t xml:space="preserve">Чек-лист проверок по серьёзности</w:t>
      </w:r>
    </w:p>
    <w:p>
      <w:pPr>
        <w:keepNext/>
        <w:spacing w:after="200" w:line="288"/>
      </w:pPr>
      <w:r>
        <w:rPr>
          <w:rFonts w:ascii="Calibri" w:cs="Calibri" w:eastAsia="Calibri" w:hAnsi="Calibri"/>
          <w:color w:val="5B6770"/>
        </w:rPr>
        <w:t xml:space="preserve">Чек-лист для вымышленного функционала «Система крафта снаряжения»: по одной проверке на каждый уровень серьёзности.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Шкала серьёзности</w:t>
      </w: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4D3D9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Блокер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Полностью останавливает работу с проектом: краш клиента, невозможность продолжить.</w:t>
            </w:r>
          </w:p>
        </w:tc>
      </w:tr>
      <w:tr>
        <w:trPr>
          <w:cantSplit/>
        </w:trPr>
        <w:tc>
          <w:tcPr>
            <w:tcW w:type="dxa" w:w="2000"/>
            <w:shd w:fill="FBE4E1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Критическая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Потеря или дублирование валюты или прогресса без краша.</w:t>
            </w:r>
          </w:p>
        </w:tc>
      </w:tr>
      <w:tr>
        <w:trPr>
          <w:cantSplit/>
        </w:trPr>
        <w:tc>
          <w:tcPr>
            <w:tcW w:type="dxa" w:w="2000"/>
            <w:shd w:fill="FDEBD9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Существенный сбой с риском для прогресса или данных, но с возможностью восстановления.</w:t>
            </w:r>
          </w:p>
        </w:tc>
      </w:tr>
      <w:tr>
        <w:trPr>
          <w:cantSplit/>
        </w:trPr>
        <w:tc>
          <w:tcPr>
            <w:tcW w:type="dxa" w:w="2000"/>
            <w:shd w:fill="FDF4D7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Функция работает некорректно, но не приводит к потере данных.</w:t>
            </w:r>
          </w:p>
        </w:tc>
      </w:tr>
      <w:tr>
        <w:trPr>
          <w:cantSplit/>
        </w:trPr>
        <w:tc>
          <w:tcPr>
            <w:tcW w:type="dxa" w:w="2000"/>
            <w:shd w:fill="E5F2E7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Небольшой сбой или косметическая проблема, не влияющая на функциональность.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450"/>
        <w:gridCol w:w="2050"/>
        <w:gridCol w:w="3138"/>
        <w:gridCol w:w="2600"/>
        <w:gridCol w:w="1400"/>
      </w:tblGrid>
      <w:tr>
        <w:trPr>
          <w:cantSplit/>
          <w:tblHeader/>
        </w:trPr>
        <w:tc>
          <w:tcPr>
            <w:tcW w:type="dxa" w:w="45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05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Область</w:t>
            </w:r>
          </w:p>
        </w:tc>
        <w:tc>
          <w:tcPr>
            <w:tcW w:type="dxa" w:w="3138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260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140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Серьёзность</w:t>
            </w:r>
          </w:p>
        </w:tc>
      </w:tr>
      <w:tr>
        <w:trPr>
          <w:cantSplit/>
        </w:trPr>
        <w:tc>
          <w:tcPr>
            <w:tcW w:type="dxa" w:w="450"/>
            <w:shd w:fill="F4D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2050"/>
            <w:shd w:fill="F4D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Стабильность</w:t>
            </w:r>
          </w:p>
        </w:tc>
        <w:tc>
          <w:tcPr>
            <w:tcW w:type="dxa" w:w="3138"/>
            <w:shd w:fill="F4D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Запуск клиента и открытие окна крафта</w:t>
            </w:r>
          </w:p>
        </w:tc>
        <w:tc>
          <w:tcPr>
            <w:tcW w:type="dxa" w:w="2600"/>
            <w:shd w:fill="F4D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Клиент запускается, окно крафта открывается без краша и зависаний</w:t>
            </w:r>
          </w:p>
        </w:tc>
        <w:tc>
          <w:tcPr>
            <w:tcW w:type="dxa" w:w="1400"/>
            <w:shd w:fill="F4D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Блокер</w:t>
            </w:r>
          </w:p>
        </w:tc>
      </w:tr>
      <w:tr>
        <w:trPr>
          <w:cantSplit/>
        </w:trPr>
        <w:tc>
          <w:tcPr>
            <w:tcW w:type="dxa" w:w="45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205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Экономика: валюта</w:t>
            </w:r>
          </w:p>
        </w:tc>
        <w:tc>
          <w:tcPr>
            <w:tcW w:type="dxa" w:w="3138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Списание премиум-валюты при покупке крафта редких компонентов через магазин</w:t>
            </w:r>
          </w:p>
        </w:tc>
        <w:tc>
          <w:tcPr>
            <w:tcW w:type="dxa" w:w="260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Списано ровно столько, сколько указано в цене, и ровно один раз за покупку</w:t>
            </w:r>
          </w:p>
        </w:tc>
        <w:tc>
          <w:tcPr>
            <w:tcW w:type="dxa" w:w="140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450"/>
            <w:shd w:fill="FDEB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2050"/>
            <w:shd w:fill="FDEB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Сохранение прогресса</w:t>
            </w:r>
          </w:p>
        </w:tc>
        <w:tc>
          <w:tcPr>
            <w:tcW w:type="dxa" w:w="3138"/>
            <w:shd w:fill="FDEB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Обрыв соединения с сервером во время создания предмета</w:t>
            </w:r>
          </w:p>
        </w:tc>
        <w:tc>
          <w:tcPr>
            <w:tcW w:type="dxa" w:w="2600"/>
            <w:shd w:fill="FDEB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После переподключения прогресс крафта сохранён или материалы корректно возвращены; двойного списания нет</w:t>
            </w:r>
          </w:p>
        </w:tc>
        <w:tc>
          <w:tcPr>
            <w:tcW w:type="dxa" w:w="1400"/>
            <w:shd w:fill="FDEB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450"/>
            <w:shd w:fill="FDF4D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2050"/>
            <w:shd w:fill="FDF4D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Функциональность</w:t>
            </w:r>
          </w:p>
        </w:tc>
        <w:tc>
          <w:tcPr>
            <w:tcW w:type="dxa" w:w="3138"/>
            <w:shd w:fill="FDF4D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Время крафта в интерфейсе совпадает с фактическим временем готовности</w:t>
            </w:r>
          </w:p>
        </w:tc>
        <w:tc>
          <w:tcPr>
            <w:tcW w:type="dxa" w:w="2600"/>
            <w:shd w:fill="FDF4D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Предмет готов ровно в указанный в интерфейсе момент, без расхождений</w:t>
            </w:r>
          </w:p>
        </w:tc>
        <w:tc>
          <w:tcPr>
            <w:tcW w:type="dxa" w:w="1400"/>
            <w:shd w:fill="FDF4D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45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205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Локализация</w:t>
            </w:r>
          </w:p>
        </w:tc>
        <w:tc>
          <w:tcPr>
            <w:tcW w:type="dxa" w:w="313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Тултип материала «Железная руда» в окне крафта</w:t>
            </w:r>
          </w:p>
        </w:tc>
        <w:tc>
          <w:tcPr>
            <w:tcW w:type="dxa" w:w="26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Название и описание материала без опечаток и обрезанного текста</w:t>
            </w:r>
          </w:p>
        </w:tc>
        <w:tc>
          <w:tcPr>
            <w:tcW w:type="dxa" w:w="14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Низкая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5B6770"/>
          <w:sz w:val="20"/>
          <w:szCs w:val="20"/>
        </w:rPr>
        <w:t xml:space="preserve">В рабочей версии у чек-листа есть столбец «Статус»: Pass / Pass with cautions / Fail / Blocked. Он заполняется при прогоне.</w:t>
      </w:r>
    </w:p>
    <w:p>
      <w:pPr>
        <w:keepNext/>
        <w:spacing w:after="60" w:before="4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ПРИМЕР 3</w:t>
      </w:r>
    </w:p>
    <w:p>
      <w:pPr>
        <w:pStyle w:val="Heading2"/>
        <w:keepNext/>
        <w:spacing w:after="120"/>
      </w:pPr>
      <w:r>
        <w:rPr>
          <w:rFonts w:ascii="Calibri" w:cs="Calibri" w:eastAsia="Calibri" w:hAnsi="Calibri"/>
          <w:b/>
          <w:bCs/>
          <w:color w:val="1F2933"/>
          <w:sz w:val="36"/>
          <w:szCs w:val="36"/>
        </w:rPr>
        <w:t xml:space="preserve">Тест-кейсы по приоритету</w:t>
      </w:r>
    </w:p>
    <w:p>
      <w:pPr>
        <w:keepNext/>
        <w:spacing w:after="200" w:line="288"/>
      </w:pPr>
      <w:r>
        <w:rPr>
          <w:rFonts w:ascii="Calibri" w:cs="Calibri" w:eastAsia="Calibri" w:hAnsi="Calibri"/>
          <w:color w:val="5B6770"/>
        </w:rPr>
        <w:t xml:space="preserve">Тест-кейсы для вымышленной фичи «Дымовой след от выстрела»: по одному на каждый уровень приоритета.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Шкала приоритета</w:t>
      </w: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BE4E1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Базовая работа фичи. Без этого она не работает в принципе.</w:t>
            </w:r>
          </w:p>
        </w:tc>
      </w:tr>
      <w:tr>
        <w:trPr>
          <w:cantSplit/>
        </w:trPr>
        <w:tc>
          <w:tcPr>
            <w:tcW w:type="dxa" w:w="2000"/>
            <w:shd w:fill="FDEBD9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Заметно влияет на работу фичи в реальных условиях: разные настройки, конфигурации, режимы.</w:t>
            </w:r>
          </w:p>
        </w:tc>
      </w:tr>
      <w:tr>
        <w:trPr>
          <w:cantSplit/>
        </w:trPr>
        <w:tc>
          <w:tcPr>
            <w:tcW w:type="dxa" w:w="2000"/>
            <w:shd w:fill="FDF4D7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Влияет на честность геймплея или производительность, но не на саму работу фичи.</w:t>
            </w:r>
          </w:p>
        </w:tc>
      </w:tr>
      <w:tr>
        <w:trPr>
          <w:cantSplit/>
        </w:trPr>
        <w:tc>
          <w:tcPr>
            <w:tcW w:type="dxa" w:w="2000"/>
            <w:shd w:fill="E5F2E7" w:color="auto" w:val="clear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638"/>
            <w:tcMar>
              <w:top w:type="dxa" w:w="70"/>
              <w:left w:type="dxa" w:w="14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Эстетика и полировка, на геймплей не влияет.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FBE4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TC-01.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Дымовой след появляется и исчезает синхронно с выстрелом</w:t>
            </w: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   ·   Критический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Предусловия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Орудие с новым эффектом доступно и заряжено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Шаги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Произвести выстрел.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Проследить за появлением дыма у дульного среза.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Дождаться рассеивания эффекта.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Эффект появляется в момент выстрела и рассеивается через заданное время, без «зависания»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FDEBD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TC-02.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Эффект корректно отображается на всех настройках графики</w:t>
            </w: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   ·   Высокий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Предусловия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Доступ к настройкам графики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Шаги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Минимальные настройки: произвести выстрел, проверить эффект.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Повторить на средних и максимальных настройках.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 всех уровнях настроек эффект есть, без пропадания и искажений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FDF4D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TC-03.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Другие игроки видят эффект по сети</w:t>
            </w: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   ·   Средний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Предусловия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Два клиента в одном матче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Шаги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Игрок А производит выстрел.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Игрок Б наблюдает за игроком А со стороны.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Сравнить, что видит Б, с действием игрока А.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Наблюдатель видит эффект синхронно, без задержки, дающей преимущество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shd w:fill="E5F2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22"/>
                <w:szCs w:val="22"/>
              </w:rPr>
              <w:t xml:space="preserve">TC-04. 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Оттенок дыма соответствует освещению на карте</w:t>
            </w: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   ·   Низкий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Предусловия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Доступны карты минимум с двумя условиями освещения (день и ночь)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Шаги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Произвести выстрел на дневной карте, запомнить оттенок дыма.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Произвести выстрел на ночной карте.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Сравнить, насколько эффект вписывается в окружение.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14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73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Оттенок уместен при любом освещении; расхождения влияют только на эстетику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Денис Курчиков  ·  Примеры QA-документации  · 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B5E6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Примеры QA-документации</dc:title>
  <dc:creator>Denis Kurchikov</dc:creator>
  <cp:lastModifiedBy>Un-named</cp:lastModifiedBy>
  <cp:revision>1</cp:revision>
  <dcterms:created xsi:type="dcterms:W3CDTF">2026-10-11T14:27:18.216Z</dcterms:created>
  <dcterms:modified xsi:type="dcterms:W3CDTF">2026-10-11T14:27:18.216Z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