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63877108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NEÀNG PHIA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V2456A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52730090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NEÀNG MA RA</w:t>
            </w:r>
          </w:p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V2456B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21DE1ED4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091F43B4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  <w:t>X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 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bookmarkStart w:id="0" w:name="_GoBack" w:colFirst="2" w:colLast="2"/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</w:t>
            </w:r>
          </w:p>
        </w:tc>
      </w:tr>
      <w:bookmarkEnd w:id="0"/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11.3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11.3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12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14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25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zh-CN" w:bidi="ar-SA"/>
              </w:rPr>
              <w:t>15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CEDB5EC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</w:tr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40C20446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99.999999997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0E157ECD"/>
    <w:rsid w:val="10A17A5F"/>
    <w:rsid w:val="127B050F"/>
    <w:rsid w:val="144F4FA7"/>
    <w:rsid w:val="17F25F6A"/>
    <w:rsid w:val="1BA9541D"/>
    <w:rsid w:val="238F14D9"/>
    <w:rsid w:val="2CF81A79"/>
    <w:rsid w:val="30BC794C"/>
    <w:rsid w:val="36982859"/>
    <w:rsid w:val="3F541CD6"/>
    <w:rsid w:val="45E25748"/>
    <w:rsid w:val="47D15A70"/>
    <w:rsid w:val="4AC31138"/>
    <w:rsid w:val="4C0E2448"/>
    <w:rsid w:val="4FAC29ED"/>
    <w:rsid w:val="54154D81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0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2024-12-26T02:54:22Z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A641A2949076444D891D1C1CF6BEA59C_13</vt:lpwstr>
  </property>
</Properties>
</file>