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76C"/>
          <w:sz w:val="40"/>
        </w:rPr>
        <w:t>PM2.5 MULTIMODAL DEEP LEARNING</w:t>
      </w:r>
    </w:p>
    <w:p>
      <w:pPr>
        <w:jc w:val="center"/>
      </w:pPr>
      <w:r>
        <w:rPr>
          <w:i/>
          <w:color w:val="2163AE"/>
          <w:sz w:val="24"/>
        </w:rPr>
        <w:t>6 Monitoring Stations — Hanoi, Vietnam</w:t>
      </w:r>
    </w:p>
    <w:p/>
    <w:p>
      <w:pPr>
        <w:jc w:val="center"/>
      </w:pPr>
      <w:r>
        <w:rPr>
          <w:b/>
          <w:color w:val="B8860B"/>
          <w:sz w:val="22"/>
        </w:rPr>
        <w:t>Document 1 of 3</w:t>
      </w:r>
    </w:p>
    <w:p>
      <w:pPr>
        <w:jc w:val="center"/>
      </w:pPr>
      <w:r>
        <w:rPr>
          <w:b/>
          <w:color w:val="1A376C"/>
          <w:sz w:val="44"/>
        </w:rPr>
        <w:t>Research Data Summary</w:t>
      </w:r>
    </w:p>
    <w:p/>
    <w:p>
      <w:pPr>
        <w:jc w:val="center"/>
      </w:pPr>
      <w:r>
        <w:rPr>
          <w:i/>
          <w:color w:val="444444"/>
          <w:sz w:val="24"/>
        </w:rPr>
        <w:t>Data Sources · Collection · Preprocessing · Splits</w:t>
      </w:r>
    </w:p>
    <w:p/>
    <w:p>
      <w:pPr>
        <w:jc w:val="center"/>
      </w:pPr>
      <w:r>
        <w:rPr>
          <w:color w:val="555555"/>
          <w:sz w:val="22"/>
        </w:rPr>
        <w:t>Research Period: January 2024 – May 2026</w:t>
      </w:r>
    </w:p>
    <w:p>
      <w:r>
        <w:br w:type="page"/>
      </w:r>
    </w:p>
    <w:p>
      <w:pPr>
        <w:pStyle w:val="Heading1"/>
      </w:pPr>
      <w:r>
        <w:rPr>
          <w:color w:val="1A376C"/>
          <w:sz w:val="28"/>
        </w:rPr>
        <w:t>1. Project Overview</w:t>
      </w:r>
    </w:p>
    <w:p>
      <w:pPr>
        <w:spacing w:after="80"/>
      </w:pPr>
      <w:r>
        <w:rPr>
          <w:b w:val="0"/>
          <w:i w:val="0"/>
          <w:sz w:val="22"/>
        </w:rPr>
        <w:t>This research develops a multimodal deep-learning system to predict daily PM2.5 concentrations at 6 ground monitoring stations in Hanoi, Vietnam. Three independent data sources are fused: ground-station air quality measurements (OpenAQ), atmospheric reanalysis weather data (Open-Meteo), and multispectral satellite observations (Sentinel-5P / Sentinel-2).</w:t>
      </w:r>
    </w:p>
    <w:p>
      <w:pPr>
        <w:spacing w:before="120" w:after="120"/>
        <w:ind w:left="432" w:right="432"/>
        <w:shd w:val="clear" w:color="auto" w:fill="EEF2FF"/>
      </w:pPr>
      <w:r>
        <w:rPr>
          <w:i/>
          <w:color w:val="1A376C"/>
          <w:sz w:val="22"/>
        </w:rPr>
        <w:t>Research period: 29 January 2024 → 15 May 2026  |  6 stations  |  ~2.5 years of daily observations</w:t>
      </w:r>
    </w:p>
    <w:p>
      <w:pPr>
        <w:pStyle w:val="Heading1"/>
      </w:pPr>
      <w:r>
        <w:rPr>
          <w:color w:val="1A376C"/>
          <w:sz w:val="28"/>
        </w:rPr>
        <w:t>2. Monitoring Stations (OpenAQ)</w:t>
      </w:r>
    </w:p>
    <w:p>
      <w:pPr>
        <w:spacing w:after="80"/>
      </w:pPr>
      <w:r>
        <w:rPr>
          <w:b w:val="0"/>
          <w:i w:val="0"/>
          <w:sz w:val="22"/>
        </w:rPr>
        <w:t>Six IQAir monitoring stations operated continuously in Hanoi. Station metadata was sourced from the OpenAQ v3 API and stored in Stations.xlsx.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Station ID</w:t>
            </w:r>
          </w:p>
        </w:tc>
        <w:tc>
          <w:tcPr>
            <w:tcW w:type="dxa" w:w="4608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59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District</w:t>
            </w:r>
          </w:p>
        </w:tc>
      </w:tr>
      <w:tr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2161306</w:t>
            </w:r>
          </w:p>
        </w:tc>
        <w:tc>
          <w:tcPr>
            <w:tcW w:type="dxa" w:w="4608"/>
            <w:shd w:val="clear" w:color="auto" w:fill="F0F4FA"/>
          </w:tcPr>
          <w:p>
            <w:r/>
            <w:r>
              <w:rPr>
                <w:sz w:val="20"/>
              </w:rPr>
              <w:t>Minh Khai – Bắc Từ Liêm</w:t>
            </w:r>
          </w:p>
        </w:tc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Bắc Từ Liêm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2161292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Số 46 phố Lưu Quang Vũ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Thanh Xuân</w:t>
            </w:r>
          </w:p>
        </w:tc>
      </w:tr>
      <w:tr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4946812</w:t>
            </w:r>
          </w:p>
        </w:tc>
        <w:tc>
          <w:tcPr>
            <w:tcW w:type="dxa" w:w="4608"/>
            <w:shd w:val="clear" w:color="auto" w:fill="F0F4FA"/>
          </w:tcPr>
          <w:p>
            <w:r/>
            <w:r>
              <w:rPr>
                <w:sz w:val="20"/>
              </w:rPr>
              <w:t>Công viên Nhân Chính – Khuất Duy Tiến</w:t>
            </w:r>
          </w:p>
        </w:tc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Thanh Xuân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4946813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Số 1 đường Giải Phóng – phường Bạch Mai – ĐHBK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Hai Bà Trưng</w:t>
            </w:r>
          </w:p>
        </w:tc>
      </w:tr>
      <w:tr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4946811</w:t>
            </w:r>
          </w:p>
        </w:tc>
        <w:tc>
          <w:tcPr>
            <w:tcW w:type="dxa" w:w="4608"/>
            <w:shd w:val="clear" w:color="auto" w:fill="F0F4FA"/>
          </w:tcPr>
          <w:p>
            <w:r/>
            <w:r>
              <w:rPr>
                <w:sz w:val="20"/>
              </w:rPr>
              <w:t>556 Nguyễn Văn Cừ</w:t>
            </w:r>
          </w:p>
        </w:tc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Long Biên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6123215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OceanPark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Gia Lâm</w:t>
            </w:r>
          </w:p>
        </w:tc>
      </w:tr>
    </w:tbl>
    <w:p/>
    <w:p>
      <w:pPr>
        <w:pStyle w:val="Heading1"/>
      </w:pPr>
      <w:r>
        <w:rPr>
          <w:color w:val="1A376C"/>
          <w:sz w:val="28"/>
        </w:rPr>
        <w:t>3. Data Source 1 — Ground Measurements (OpenAQ v3 API)</w:t>
      </w:r>
    </w:p>
    <w:p>
      <w:pPr>
        <w:spacing w:after="80"/>
      </w:pPr>
      <w:r>
        <w:rPr>
          <w:b w:val="0"/>
          <w:i w:val="0"/>
          <w:sz w:val="22"/>
        </w:rPr>
        <w:t>Hourly observations crawled via OpenAQ v3 REST API with automatic retry logic (rate-limit handling 429/408/5xx). Data was collected in 14-day sliding windows to avoid API pagination limits.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44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6048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PM2.5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µg/m³</w:t>
            </w:r>
          </w:p>
        </w:tc>
        <w:tc>
          <w:tcPr>
            <w:tcW w:type="dxa" w:w="6048"/>
            <w:shd w:val="clear" w:color="auto" w:fill="F0F4FA"/>
          </w:tcPr>
          <w:p>
            <w:r/>
            <w:r>
              <w:rPr>
                <w:sz w:val="20"/>
              </w:rPr>
              <w:t>Fine particulate matter — primary prediction target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CO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µg/m³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sz w:val="20"/>
              </w:rPr>
              <w:t>Carbon monoxide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NO₂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µg/m³</w:t>
            </w:r>
          </w:p>
        </w:tc>
        <w:tc>
          <w:tcPr>
            <w:tcW w:type="dxa" w:w="6048"/>
            <w:shd w:val="clear" w:color="auto" w:fill="F0F4FA"/>
          </w:tcPr>
          <w:p>
            <w:r/>
            <w:r>
              <w:rPr>
                <w:sz w:val="20"/>
              </w:rPr>
              <w:t>Nitrogen dioxide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O₃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µg/m³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sz w:val="20"/>
              </w:rPr>
              <w:t>Ozone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SO₂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µg/m³</w:t>
            </w:r>
          </w:p>
        </w:tc>
        <w:tc>
          <w:tcPr>
            <w:tcW w:type="dxa" w:w="6048"/>
            <w:shd w:val="clear" w:color="auto" w:fill="F0F4FA"/>
          </w:tcPr>
          <w:p>
            <w:r/>
            <w:r>
              <w:rPr>
                <w:sz w:val="20"/>
              </w:rPr>
              <w:t>Sulfur dioxide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Collection parameters:</w:t>
      </w:r>
    </w:p>
    <w:p>
      <w:pPr>
        <w:pStyle w:val="ListBullet"/>
        <w:spacing w:after="40"/>
        <w:ind w:left="432"/>
      </w:pPr>
      <w:r>
        <w:rPr>
          <w:sz w:val="22"/>
        </w:rPr>
        <w:t>Date range: 2024-01-29 → 2026-05-15 (≈ 837 days)</w:t>
      </w:r>
    </w:p>
    <w:p>
      <w:pPr>
        <w:pStyle w:val="ListBullet"/>
        <w:spacing w:after="40"/>
        <w:ind w:left="432"/>
      </w:pPr>
      <w:r>
        <w:rPr>
          <w:sz w:val="22"/>
        </w:rPr>
        <w:t>Frequency: hourly; daily averages computed downstream</w:t>
      </w:r>
    </w:p>
    <w:p>
      <w:pPr>
        <w:pStyle w:val="ListBullet"/>
        <w:spacing w:after="40"/>
        <w:ind w:left="432"/>
      </w:pPr>
      <w:r>
        <w:rPr>
          <w:sz w:val="22"/>
        </w:rPr>
        <w:t>API limit: 1,000 records per request; 14-day window batching</w:t>
      </w:r>
    </w:p>
    <w:p>
      <w:pPr>
        <w:pStyle w:val="ListBullet"/>
        <w:spacing w:after="40"/>
        <w:ind w:left="432"/>
      </w:pPr>
      <w:r>
        <w:rPr>
          <w:sz w:val="22"/>
        </w:rPr>
        <w:t>Output: all_stations_crawled.csv + 6 per-station CSV files</w:t>
      </w:r>
    </w:p>
    <w:p>
      <w:pPr>
        <w:pStyle w:val="ListBullet"/>
        <w:spacing w:after="40"/>
        <w:ind w:left="432"/>
      </w:pPr>
      <w:r>
        <w:rPr>
          <w:sz w:val="22"/>
        </w:rPr>
        <w:t>Combined dataset: all_stations_satellite_hourly.csv (merged with satellite)</w:t>
      </w:r>
    </w:p>
    <w:p>
      <w:pPr>
        <w:pStyle w:val="Heading1"/>
      </w:pPr>
      <w:r>
        <w:rPr>
          <w:color w:val="1A376C"/>
          <w:sz w:val="28"/>
        </w:rPr>
        <w:t>4. Data Source 2 — Meteorological Data (Open-Meteo Archive API)</w:t>
      </w:r>
    </w:p>
    <w:p>
      <w:pPr>
        <w:spacing w:after="80"/>
      </w:pPr>
      <w:r>
        <w:rPr>
          <w:b w:val="0"/>
          <w:i w:val="0"/>
          <w:sz w:val="22"/>
        </w:rPr>
        <w:t>Hourly reanalysis weather data fetched from the Open-Meteo Archive API (free, no API key). Coordinates for each station were retrieved automatically from the OpenAQ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45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Renamed Column</w:t>
            </w:r>
          </w:p>
        </w:tc>
        <w:tc>
          <w:tcPr>
            <w:tcW w:type="dxa" w:w="1728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temperature_2m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temperature_2m_C</w:t>
            </w:r>
          </w:p>
        </w:tc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°C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relative_humidity_2m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relative_humidity_pct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%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dew_point_2m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dew_point_2m_C</w:t>
            </w:r>
          </w:p>
        </w:tc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°C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wind_speed_10m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wind_speed_10m_kmh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km/h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wind_direction_10m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wind_direction_deg</w:t>
            </w:r>
          </w:p>
        </w:tc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°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wind_gusts_10m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wind_gusts_10m_kmh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km/h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wind u-component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wind_u_10m</w:t>
            </w:r>
          </w:p>
        </w:tc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m/s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wind v-component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wind_v_10m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m/s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pressure_msl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pressure_msl_hPa</w:t>
            </w:r>
          </w:p>
        </w:tc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hPa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precipitation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precipitation_mm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mm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cloud_cover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cloud_cover_pct</w:t>
            </w:r>
          </w:p>
        </w:tc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boundary_layer_height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boundary_layer_height_m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m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visibility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visibility_m</w:t>
            </w:r>
          </w:p>
        </w:tc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m</w:t>
            </w:r>
          </w:p>
        </w:tc>
      </w:tr>
    </w:tbl>
    <w:p/>
    <w:p>
      <w:pPr>
        <w:pStyle w:val="Heading1"/>
      </w:pPr>
      <w:r>
        <w:rPr>
          <w:color w:val="1A376C"/>
          <w:sz w:val="28"/>
        </w:rPr>
        <w:t>5. Data Source 3 — Satellite Observations (Sentinel-5P / Sentinel-2)</w:t>
      </w:r>
    </w:p>
    <w:p>
      <w:pPr>
        <w:spacing w:after="80"/>
      </w:pPr>
      <w:r>
        <w:rPr>
          <w:b w:val="0"/>
          <w:i w:val="0"/>
          <w:sz w:val="22"/>
        </w:rPr>
        <w:t>Satellite-derived atmospheric indices extracted per station using spatial buffer aggregation (pixels within radius of station coordinates). For each band, six summary statistics are computed: valid_pixels, mean, std, min, max, median.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Band</w:t>
            </w:r>
          </w:p>
        </w:tc>
        <w:tc>
          <w:tcPr>
            <w:tcW w:type="dxa" w:w="187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3168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60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Statistics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/>
            <w:r>
              <w:rPr>
                <w:sz w:val="20"/>
              </w:rPr>
              <w:t>NO₂</w:t>
            </w:r>
          </w:p>
        </w:tc>
        <w:tc>
          <w:tcPr>
            <w:tcW w:type="dxa" w:w="1872"/>
            <w:shd w:val="clear" w:color="auto" w:fill="F0F4FA"/>
          </w:tcPr>
          <w:p>
            <w:r/>
            <w:r>
              <w:rPr>
                <w:sz w:val="20"/>
              </w:rPr>
              <w:t>Sentinel-5P</w:t>
            </w:r>
          </w:p>
        </w:tc>
        <w:tc>
          <w:tcPr>
            <w:tcW w:type="dxa" w:w="3168"/>
            <w:shd w:val="clear" w:color="auto" w:fill="F0F4FA"/>
          </w:tcPr>
          <w:p>
            <w:r/>
            <w:r>
              <w:rPr>
                <w:sz w:val="20"/>
              </w:rPr>
              <w:t>Nitrogen dioxide column</w:t>
            </w:r>
          </w:p>
        </w:tc>
        <w:tc>
          <w:tcPr>
            <w:tcW w:type="dxa" w:w="3600"/>
            <w:shd w:val="clear" w:color="auto" w:fill="F0F4FA"/>
          </w:tcPr>
          <w:p>
            <w:r/>
            <w:r>
              <w:rPr>
                <w:sz w:val="20"/>
              </w:rPr>
              <w:t>6 (mean, std, min, max, median, vpix)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sz w:val="20"/>
              </w:rPr>
              <w:t>CO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sz w:val="20"/>
              </w:rPr>
              <w:t>Sentinel-5P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Carbon monoxide column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/>
            <w:r>
              <w:rPr>
                <w:sz w:val="20"/>
              </w:rPr>
              <w:t>SO₂</w:t>
            </w:r>
          </w:p>
        </w:tc>
        <w:tc>
          <w:tcPr>
            <w:tcW w:type="dxa" w:w="1872"/>
            <w:shd w:val="clear" w:color="auto" w:fill="F0F4FA"/>
          </w:tcPr>
          <w:p>
            <w:r/>
            <w:r>
              <w:rPr>
                <w:sz w:val="20"/>
              </w:rPr>
              <w:t>Sentinel-5P</w:t>
            </w:r>
          </w:p>
        </w:tc>
        <w:tc>
          <w:tcPr>
            <w:tcW w:type="dxa" w:w="3168"/>
            <w:shd w:val="clear" w:color="auto" w:fill="F0F4FA"/>
          </w:tcPr>
          <w:p>
            <w:r/>
            <w:r>
              <w:rPr>
                <w:sz w:val="20"/>
              </w:rPr>
              <w:t>Sulfur dioxide column</w:t>
            </w:r>
          </w:p>
        </w:tc>
        <w:tc>
          <w:tcPr>
            <w:tcW w:type="dxa" w:w="3600"/>
            <w:shd w:val="clear" w:color="auto" w:fill="F0F4FA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sz w:val="20"/>
              </w:rPr>
              <w:t>AER-AI 340/380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sz w:val="20"/>
              </w:rPr>
              <w:t>Sentinel-5P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Aerosol absorbing index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/>
            <w:r>
              <w:rPr>
                <w:sz w:val="20"/>
              </w:rPr>
              <w:t>NDVI</w:t>
            </w:r>
          </w:p>
        </w:tc>
        <w:tc>
          <w:tcPr>
            <w:tcW w:type="dxa" w:w="1872"/>
            <w:shd w:val="clear" w:color="auto" w:fill="F0F4FA"/>
          </w:tcPr>
          <w:p>
            <w:r/>
            <w:r>
              <w:rPr>
                <w:sz w:val="20"/>
              </w:rPr>
              <w:t>Sentinel-2</w:t>
            </w:r>
          </w:p>
        </w:tc>
        <w:tc>
          <w:tcPr>
            <w:tcW w:type="dxa" w:w="3168"/>
            <w:shd w:val="clear" w:color="auto" w:fill="F0F4FA"/>
          </w:tcPr>
          <w:p>
            <w:r/>
            <w:r>
              <w:rPr>
                <w:sz w:val="20"/>
              </w:rPr>
              <w:t>Vegetation index</w:t>
            </w:r>
          </w:p>
        </w:tc>
        <w:tc>
          <w:tcPr>
            <w:tcW w:type="dxa" w:w="3600"/>
            <w:shd w:val="clear" w:color="auto" w:fill="F0F4FA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sz w:val="20"/>
              </w:rPr>
              <w:t>NDBI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sz w:val="20"/>
              </w:rPr>
              <w:t>Sentinel-2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Built-up index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sz w:val="20"/>
              </w:rPr>
              <w:t>5 (mean, std, min, max, median)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/>
            <w:r>
              <w:rPr>
                <w:sz w:val="20"/>
              </w:rPr>
              <w:t>NDWI</w:t>
            </w:r>
          </w:p>
        </w:tc>
        <w:tc>
          <w:tcPr>
            <w:tcW w:type="dxa" w:w="1872"/>
            <w:shd w:val="clear" w:color="auto" w:fill="F0F4FA"/>
          </w:tcPr>
          <w:p>
            <w:r/>
            <w:r>
              <w:rPr>
                <w:sz w:val="20"/>
              </w:rPr>
              <w:t>Sentinel-2</w:t>
            </w:r>
          </w:p>
        </w:tc>
        <w:tc>
          <w:tcPr>
            <w:tcW w:type="dxa" w:w="3168"/>
            <w:shd w:val="clear" w:color="auto" w:fill="F0F4FA"/>
          </w:tcPr>
          <w:p>
            <w:r/>
            <w:r>
              <w:rPr>
                <w:sz w:val="20"/>
              </w:rPr>
              <w:t>Water index</w:t>
            </w:r>
          </w:p>
        </w:tc>
        <w:tc>
          <w:tcPr>
            <w:tcW w:type="dxa" w:w="3600"/>
            <w:shd w:val="clear" w:color="auto" w:fill="F0F4FA"/>
          </w:tcPr>
          <w:p>
            <w:r/>
            <w:r>
              <w:rPr>
                <w:sz w:val="20"/>
              </w:rPr>
              <w:t>5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br/>
        <w:t>For the 3D CNN model, 30 features (5 bands × 6 stats) are arranged as a structured 6×5 grid:</w:t>
      </w:r>
    </w:p>
    <w:p>
      <w:pPr>
        <w:spacing w:before="120" w:after="120"/>
        <w:ind w:left="432" w:right="432"/>
        <w:shd w:val="clear" w:color="auto" w:fill="EEF2FF"/>
      </w:pPr>
      <w:r>
        <w:rPr>
          <w:i/>
          <w:color w:val="1A376C"/>
          <w:sz w:val="22"/>
        </w:rPr>
        <w:t>3D Satellite Grid Layout</w:t>
        <w:br/>
        <w:t>Rows (6): valid_pixels / mean / std / min / max / median</w:t>
        <w:br/>
        <w:t>Cols (5): NO₂ / CO / SO₂ / Aerosol-AI / NDVI</w:t>
        <w:br/>
        <w:t>→ Input tensor shape: (B, 1, 7-days, 6-stats, 5-bands)</w:t>
      </w:r>
    </w:p>
    <w:p>
      <w:pPr>
        <w:pStyle w:val="Heading1"/>
      </w:pPr>
      <w:r>
        <w:rPr>
          <w:color w:val="1A376C"/>
          <w:sz w:val="28"/>
        </w:rPr>
        <w:t>6. Data Preprocessing</w:t>
      </w:r>
    </w:p>
    <w:p>
      <w:pPr>
        <w:spacing w:after="80"/>
      </w:pPr>
      <w:r>
        <w:rPr>
          <w:b w:val="0"/>
          <w:i w:val="0"/>
          <w:sz w:val="22"/>
        </w:rPr>
        <w:t>Key preprocessing steps applied in scripts/preprocess_satellite_pm25_daily.py and the load_daily() function in training scripts: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9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Date gap filling</w:t>
            </w:r>
          </w:p>
        </w:tc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Time-index reindex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sz w:val="20"/>
              </w:rPr>
              <w:t>Full daily calendar per station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PM2.5 interpolation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Linear (time)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sz w:val="20"/>
              </w:rPr>
              <w:t>Max 3 consecutive missing days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Satellite imputation</w:t>
            </w:r>
          </w:p>
        </w:tc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Linear + median fill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sz w:val="20"/>
              </w:rPr>
              <w:t>Per station, limit=10 days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Lag features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Pandas shift()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sz w:val="20"/>
              </w:rPr>
              <w:t>lag1, lag2, lag3, lag7, roll3, roll7, roll7std, delta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Seasonal encoding</w:t>
            </w:r>
          </w:p>
        </w:tc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sin/cos transform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sz w:val="20"/>
              </w:rPr>
              <w:t>sin_doy, cos_doy, sin_month, cos_month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Feature scaling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StandardScaler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sz w:val="20"/>
              </w:rPr>
              <w:t>Fit on train only; transform all splits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Target transform</w:t>
            </w:r>
          </w:p>
        </w:tc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log1p + StandardScaler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sz w:val="20"/>
              </w:rPr>
              <w:t>Applied to PM2.5 for neural training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PM2.5 filter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Range filter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sz w:val="20"/>
              </w:rPr>
              <w:t>Keep only 0 &lt; PM2.5 ≤ 500 µg/m³</w:t>
            </w:r>
          </w:p>
        </w:tc>
      </w:tr>
    </w:tbl>
    <w:p/>
    <w:p>
      <w:pPr>
        <w:pStyle w:val="Heading1"/>
      </w:pPr>
      <w:r>
        <w:rPr>
          <w:color w:val="1A376C"/>
          <w:sz w:val="28"/>
        </w:rPr>
        <w:t>7. Dataset Split</w:t>
      </w:r>
    </w:p>
    <w:p>
      <w:pPr>
        <w:spacing w:after="80"/>
      </w:pPr>
      <w:r>
        <w:rPr>
          <w:b w:val="0"/>
          <w:i w:val="0"/>
          <w:sz w:val="22"/>
        </w:rPr>
        <w:t>A global chronological (70 / 15 / 15 %) split is applied across all 6 stations. Split boundaries are determined by calendar date (not per-station row count) to preserve temporal ordering.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44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Fraction</w:t>
            </w:r>
          </w:p>
        </w:tc>
        <w:tc>
          <w:tcPr>
            <w:tcW w:type="dxa" w:w="259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Rows (6 stations)</w:t>
            </w:r>
          </w:p>
        </w:tc>
        <w:tc>
          <w:tcPr>
            <w:tcW w:type="dxa" w:w="4608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Period (approx.)</w:t>
            </w:r>
          </w:p>
        </w:tc>
      </w:tr>
      <w:tr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Train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70 %</w:t>
            </w:r>
          </w:p>
        </w:tc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1,109</w:t>
            </w:r>
          </w:p>
        </w:tc>
        <w:tc>
          <w:tcPr>
            <w:tcW w:type="dxa" w:w="4608"/>
            <w:shd w:val="clear" w:color="auto" w:fill="F0F4FA"/>
          </w:tcPr>
          <w:p>
            <w:r/>
            <w:r>
              <w:rPr>
                <w:sz w:val="20"/>
              </w:rPr>
              <w:t>Jan 2024 → late 2025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Val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15 %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492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Autumn / Winter 2025</w:t>
            </w:r>
          </w:p>
        </w:tc>
      </w:tr>
      <w:tr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Test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15 %</w:t>
            </w:r>
          </w:p>
        </w:tc>
        <w:tc>
          <w:tcPr>
            <w:tcW w:type="dxa" w:w="2592"/>
            <w:shd w:val="clear" w:color="auto" w:fill="F0F4FA"/>
          </w:tcPr>
          <w:p>
            <w:r/>
            <w:r>
              <w:rPr>
                <w:sz w:val="20"/>
              </w:rPr>
              <w:t>643</w:t>
            </w:r>
          </w:p>
        </w:tc>
        <w:tc>
          <w:tcPr>
            <w:tcW w:type="dxa" w:w="4608"/>
            <w:shd w:val="clear" w:color="auto" w:fill="F0F4FA"/>
          </w:tcPr>
          <w:p>
            <w:r/>
            <w:r>
              <w:rPr>
                <w:sz w:val="20"/>
              </w:rPr>
              <w:t>Winter / Spring 2026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br/>
        <w:t>Val sub-splits for alpha selection:</w:t>
      </w:r>
    </w:p>
    <w:p>
      <w:pPr>
        <w:pStyle w:val="ListBullet"/>
        <w:spacing w:after="40"/>
        <w:ind w:left="432"/>
      </w:pPr>
      <w:r>
        <w:rPr>
          <w:sz w:val="22"/>
        </w:rPr>
        <w:t>Val-early (first 50% = 246 rows): autumn 2025</w:t>
      </w:r>
    </w:p>
    <w:p>
      <w:pPr>
        <w:pStyle w:val="ListBullet"/>
        <w:spacing w:after="40"/>
        <w:ind w:left="432"/>
      </w:pPr>
      <w:r>
        <w:rPr>
          <w:sz w:val="22"/>
        </w:rPr>
        <w:t>Val-late  (last 50%  = 246 rows): winter 2025 — temporally closest to test</w:t>
      </w:r>
    </w:p>
    <w:p>
      <w:pPr>
        <w:pStyle w:val="Heading1"/>
      </w:pPr>
      <w:r>
        <w:rPr>
          <w:color w:val="1A376C"/>
          <w:sz w:val="28"/>
        </w:rPr>
        <w:t>8. Seasonal Distribution Shift (Core Challenge)</w:t>
      </w:r>
    </w:p>
    <w:p>
      <w:pPr>
        <w:spacing w:after="80"/>
      </w:pPr>
      <w:r>
        <w:rPr>
          <w:b w:val="0"/>
          <w:i w:val="0"/>
          <w:sz w:val="22"/>
        </w:rPr>
        <w:t>The most significant data challenge is a seasonal distribution shift between the validation and test periods:</w:t>
      </w:r>
    </w:p>
    <w:p>
      <w:pPr>
        <w:pStyle w:val="ListBullet"/>
        <w:spacing w:after="40"/>
        <w:ind w:left="432"/>
      </w:pPr>
      <w:r>
        <w:rPr>
          <w:sz w:val="22"/>
        </w:rPr>
        <w:t>Val period (autumn/winter 2025): mean PM2.5 ≈ 47 µg/m³, high values common (winter pollution season)</w:t>
      </w:r>
    </w:p>
    <w:p>
      <w:pPr>
        <w:pStyle w:val="ListBullet"/>
        <w:spacing w:after="40"/>
        <w:ind w:left="432"/>
      </w:pPr>
      <w:r>
        <w:rPr>
          <w:sz w:val="22"/>
        </w:rPr>
        <w:t>Test period (winter/spring 2026): mean PM2.5 ≈ 38 µg/m³, narrower range 8–132 µg/m³</w:t>
      </w:r>
    </w:p>
    <w:p>
      <w:pPr>
        <w:pStyle w:val="ListBullet"/>
        <w:spacing w:after="40"/>
        <w:ind w:left="432"/>
      </w:pPr>
      <w:r>
        <w:rPr>
          <w:sz w:val="22"/>
        </w:rPr>
        <w:t>Training range: 5–467 µg/m³ (extreme events present)</w:t>
      </w:r>
    </w:p>
    <w:p>
      <w:pPr>
        <w:spacing w:before="120" w:after="120"/>
        <w:ind w:left="432" w:right="432"/>
        <w:shd w:val="clear" w:color="auto" w:fill="EEF2FF"/>
      </w:pPr>
      <w:r>
        <w:rPr>
          <w:i/>
          <w:color w:val="1A376C"/>
          <w:sz w:val="22"/>
        </w:rPr>
        <w:t>Impact: Neural models trained on winter val patterns systematically overestimate spring test values. Mitigation: linear calibration + val-late alpha selection (uses only the winter-proximate half of val).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