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3E95A" w14:textId="77777777" w:rsidR="00BE7518" w:rsidRPr="00BE7518" w:rsidRDefault="00BE7518" w:rsidP="00BE7518">
      <w:pPr>
        <w:shd w:val="clear" w:color="auto" w:fill="FFFFFF"/>
        <w:spacing w:after="480" w:line="600" w:lineRule="atLeast"/>
        <w:textAlignment w:val="baseline"/>
        <w:outlineLvl w:val="1"/>
        <w:rPr>
          <w:rFonts w:ascii="Arial" w:eastAsia="Times New Roman" w:hAnsi="Arial" w:cs="Arial"/>
          <w:b/>
          <w:bCs/>
          <w:color w:val="14151A"/>
          <w:sz w:val="24"/>
          <w:szCs w:val="24"/>
        </w:rPr>
      </w:pPr>
      <w:r w:rsidRPr="00BE7518">
        <w:rPr>
          <w:rFonts w:ascii="Arial" w:eastAsia="Times New Roman" w:hAnsi="Arial" w:cs="Arial"/>
          <w:b/>
          <w:bCs/>
          <w:color w:val="14151A"/>
          <w:sz w:val="24"/>
          <w:szCs w:val="24"/>
        </w:rPr>
        <w:t>Stablecoin là gì?</w:t>
      </w:r>
    </w:p>
    <w:p w14:paraId="597BD3BF" w14:textId="77777777" w:rsidR="00BE7518" w:rsidRPr="00BE7518" w:rsidRDefault="00BE7518" w:rsidP="00BE7518">
      <w:pPr>
        <w:shd w:val="clear" w:color="auto" w:fill="FFFFFF"/>
        <w:spacing w:line="240" w:lineRule="auto"/>
        <w:textAlignment w:val="baseline"/>
        <w:rPr>
          <w:rFonts w:ascii="Arial" w:eastAsia="Times New Roman" w:hAnsi="Arial" w:cs="Arial"/>
          <w:color w:val="14151A"/>
          <w:sz w:val="24"/>
          <w:szCs w:val="24"/>
        </w:rPr>
      </w:pPr>
      <w:r w:rsidRPr="00BE7518">
        <w:rPr>
          <w:rFonts w:ascii="Arial" w:eastAsia="Times New Roman" w:hAnsi="Arial" w:cs="Arial"/>
          <w:color w:val="14151A"/>
          <w:sz w:val="24"/>
          <w:szCs w:val="24"/>
        </w:rPr>
        <w:t>Stablecoin là tài sản kỹ thuật số được thiết kế để bắt chước giá trị của các </w:t>
      </w:r>
      <w:hyperlink r:id="rId5" w:tgtFrame="_blank" w:history="1">
        <w:r w:rsidRPr="00BE7518">
          <w:rPr>
            <w:rFonts w:ascii="Arial" w:eastAsia="Times New Roman" w:hAnsi="Arial" w:cs="Arial"/>
            <w:color w:val="D0980B"/>
            <w:sz w:val="24"/>
            <w:szCs w:val="24"/>
            <w:u w:val="single"/>
            <w:bdr w:val="none" w:sz="0" w:space="0" w:color="auto" w:frame="1"/>
          </w:rPr>
          <w:t>loại tiền pháp định</w:t>
        </w:r>
      </w:hyperlink>
      <w:r w:rsidRPr="00BE7518">
        <w:rPr>
          <w:rFonts w:ascii="Arial" w:eastAsia="Times New Roman" w:hAnsi="Arial" w:cs="Arial"/>
          <w:color w:val="14151A"/>
          <w:sz w:val="24"/>
          <w:szCs w:val="24"/>
        </w:rPr>
        <w:t> như đồng đô-la hoặc đồng euro. Chúng cho phép người dùng chuyển giá trị trên toàn cầu với giá rẻ và nhanh chóng trong khi vẫn duy trì sự ổn định về giá.</w:t>
      </w:r>
    </w:p>
    <w:p w14:paraId="7E772D1C" w14:textId="77777777" w:rsidR="00BE7518" w:rsidRPr="00BE7518" w:rsidRDefault="00BE7518" w:rsidP="00BE7518">
      <w:pPr>
        <w:shd w:val="clear" w:color="auto" w:fill="FFFFFF"/>
        <w:spacing w:line="240" w:lineRule="auto"/>
        <w:textAlignment w:val="baseline"/>
        <w:rPr>
          <w:rFonts w:ascii="Arial" w:eastAsia="Times New Roman" w:hAnsi="Arial" w:cs="Arial"/>
          <w:color w:val="14151A"/>
          <w:sz w:val="24"/>
          <w:szCs w:val="24"/>
        </w:rPr>
      </w:pPr>
      <w:r w:rsidRPr="00BE7518">
        <w:rPr>
          <w:rFonts w:ascii="Arial" w:eastAsia="Times New Roman" w:hAnsi="Arial" w:cs="Arial"/>
          <w:color w:val="14151A"/>
          <w:sz w:val="24"/>
          <w:szCs w:val="24"/>
        </w:rPr>
        <w:t>Các loại tiền mã hoá như </w:t>
      </w:r>
      <w:hyperlink r:id="rId6" w:tgtFrame="_blank" w:history="1">
        <w:r w:rsidRPr="00BE7518">
          <w:rPr>
            <w:rFonts w:ascii="Arial" w:eastAsia="Times New Roman" w:hAnsi="Arial" w:cs="Arial"/>
            <w:color w:val="D0980B"/>
            <w:sz w:val="24"/>
            <w:szCs w:val="24"/>
            <w:u w:val="single"/>
            <w:bdr w:val="none" w:sz="0" w:space="0" w:color="auto" w:frame="1"/>
          </w:rPr>
          <w:t>Bitcoin</w:t>
        </w:r>
      </w:hyperlink>
      <w:r w:rsidRPr="00BE7518">
        <w:rPr>
          <w:rFonts w:ascii="Arial" w:eastAsia="Times New Roman" w:hAnsi="Arial" w:cs="Arial"/>
          <w:color w:val="14151A"/>
          <w:sz w:val="24"/>
          <w:szCs w:val="24"/>
        </w:rPr>
        <w:t> và </w:t>
      </w:r>
      <w:hyperlink r:id="rId7" w:tgtFrame="_blank" w:history="1">
        <w:r w:rsidRPr="00BE7518">
          <w:rPr>
            <w:rFonts w:ascii="Arial" w:eastAsia="Times New Roman" w:hAnsi="Arial" w:cs="Arial"/>
            <w:color w:val="D0980B"/>
            <w:sz w:val="24"/>
            <w:szCs w:val="24"/>
            <w:u w:val="single"/>
            <w:bdr w:val="none" w:sz="0" w:space="0" w:color="auto" w:frame="1"/>
          </w:rPr>
          <w:t>Ethereum</w:t>
        </w:r>
      </w:hyperlink>
      <w:r w:rsidRPr="00BE7518">
        <w:rPr>
          <w:rFonts w:ascii="Arial" w:eastAsia="Times New Roman" w:hAnsi="Arial" w:cs="Arial"/>
          <w:color w:val="14151A"/>
          <w:sz w:val="24"/>
          <w:szCs w:val="24"/>
        </w:rPr>
        <w:t> nổi tiếng về </w:t>
      </w:r>
      <w:hyperlink r:id="rId8" w:tgtFrame="_blank" w:history="1">
        <w:r w:rsidRPr="00BE7518">
          <w:rPr>
            <w:rFonts w:ascii="Arial" w:eastAsia="Times New Roman" w:hAnsi="Arial" w:cs="Arial"/>
            <w:color w:val="D0980B"/>
            <w:sz w:val="24"/>
            <w:szCs w:val="24"/>
            <w:u w:val="single"/>
            <w:bdr w:val="none" w:sz="0" w:space="0" w:color="auto" w:frame="1"/>
          </w:rPr>
          <w:t>biến động</w:t>
        </w:r>
      </w:hyperlink>
      <w:r w:rsidRPr="00BE7518">
        <w:rPr>
          <w:rFonts w:ascii="Arial" w:eastAsia="Times New Roman" w:hAnsi="Arial" w:cs="Arial"/>
          <w:color w:val="14151A"/>
          <w:sz w:val="24"/>
          <w:szCs w:val="24"/>
        </w:rPr>
        <w:t> giá khi định giá bằng tiền pháp định. Điều này là dễ hiểu, vì công nghệ blockchain vẫn còn rất mới và thị trường tiền mã hoá còn tương đối nhỏ. Thực tế, giá trị của tiền mã hoá không gắn liền với bất kỳ tài sản nào là điều thú vị từ góc độ thị trường tự do, nhưng nó có thể gây trở ngại khi nói đến khả năng sử dụng. </w:t>
      </w:r>
    </w:p>
    <w:p w14:paraId="3D0A8C80" w14:textId="77777777" w:rsidR="00BE7518" w:rsidRPr="00BE7518" w:rsidRDefault="00BE7518" w:rsidP="00BE7518">
      <w:pPr>
        <w:shd w:val="clear" w:color="auto" w:fill="FFFFFF"/>
        <w:spacing w:after="480" w:line="240" w:lineRule="auto"/>
        <w:textAlignment w:val="baseline"/>
        <w:rPr>
          <w:rFonts w:ascii="Arial" w:eastAsia="Times New Roman" w:hAnsi="Arial" w:cs="Arial"/>
          <w:color w:val="14151A"/>
          <w:sz w:val="24"/>
          <w:szCs w:val="24"/>
        </w:rPr>
      </w:pPr>
      <w:r w:rsidRPr="00BE7518">
        <w:rPr>
          <w:rFonts w:ascii="Arial" w:eastAsia="Times New Roman" w:hAnsi="Arial" w:cs="Arial"/>
          <w:color w:val="14151A"/>
          <w:sz w:val="24"/>
          <w:szCs w:val="24"/>
        </w:rPr>
        <w:t>Từ quan điểm công nghệ, tiền mã hoá mã là một sự đổi mới tuyệt vời. Tuy nhiên, những biến động về giá trị đã khiến chúng trở thành những khoản đầu tư có rủi ro cao và không lý tưởng để trở thành phương tiện thanh toán. Vào thời điểm giao dịch kết thúc, tiền mã hoá có thể có giá trị cao hơn hoặc thấp hơn đáng kể so với giá trị tại thời điểm chúng được gửi.</w:t>
      </w:r>
    </w:p>
    <w:p w14:paraId="58BCD1C1" w14:textId="77777777" w:rsidR="00BE7518" w:rsidRPr="00BE7518" w:rsidRDefault="00BE7518" w:rsidP="00BE7518">
      <w:pPr>
        <w:shd w:val="clear" w:color="auto" w:fill="FFFFFF"/>
        <w:spacing w:after="480" w:line="240" w:lineRule="auto"/>
        <w:textAlignment w:val="baseline"/>
        <w:rPr>
          <w:rFonts w:ascii="Arial" w:eastAsia="Times New Roman" w:hAnsi="Arial" w:cs="Arial"/>
          <w:color w:val="14151A"/>
          <w:sz w:val="24"/>
          <w:szCs w:val="24"/>
        </w:rPr>
      </w:pPr>
      <w:r w:rsidRPr="00BE7518">
        <w:rPr>
          <w:rFonts w:ascii="Arial" w:eastAsia="Times New Roman" w:hAnsi="Arial" w:cs="Arial"/>
          <w:color w:val="14151A"/>
          <w:sz w:val="24"/>
          <w:szCs w:val="24"/>
        </w:rPr>
        <w:t>Nhưng stablecoin không gặp vấn đề như vậy. Các tài sản này có sự biến động giá không đáng kể và giá trị của nó gắn chặt chẽ với tài sản cơ bản hoặc tiền pháp định mà chúng mô phỏng. Do đó, chúng đóng vai trò là tài sản trú ẩn an toàn đáng tin cậy trong bối cảnh thị trường đầy biến động.</w:t>
      </w:r>
    </w:p>
    <w:p w14:paraId="17B10050" w14:textId="54186BCF" w:rsidR="00AC273A" w:rsidRDefault="00BE7518">
      <w:pPr>
        <w:rPr>
          <w:b/>
          <w:sz w:val="24"/>
          <w:szCs w:val="24"/>
          <w:lang w:val="vi-VN"/>
        </w:rPr>
      </w:pPr>
      <w:r>
        <w:rPr>
          <w:b/>
          <w:sz w:val="24"/>
          <w:szCs w:val="24"/>
        </w:rPr>
        <w:t>C</w:t>
      </w:r>
      <w:r>
        <w:rPr>
          <w:b/>
          <w:sz w:val="24"/>
          <w:szCs w:val="24"/>
          <w:lang w:val="vi-VN"/>
        </w:rPr>
        <w:t>ác loại stablecoin</w:t>
      </w:r>
    </w:p>
    <w:p w14:paraId="47ECB45F" w14:textId="100A3575" w:rsidR="00BE7518" w:rsidRDefault="00BE7518">
      <w:pPr>
        <w:rPr>
          <w:sz w:val="24"/>
          <w:szCs w:val="24"/>
          <w:lang w:val="vi-VN"/>
        </w:rPr>
      </w:pPr>
      <w:r>
        <w:rPr>
          <w:sz w:val="24"/>
          <w:szCs w:val="24"/>
          <w:lang w:val="vi-VN"/>
        </w:rPr>
        <w:t>Stablecoin được chia làm 4 loại chính:</w:t>
      </w:r>
    </w:p>
    <w:p w14:paraId="72B18299" w14:textId="637605C6" w:rsidR="00BE7518" w:rsidRDefault="00BE7518" w:rsidP="00BE7518">
      <w:pPr>
        <w:pStyle w:val="ListParagraph"/>
        <w:numPr>
          <w:ilvl w:val="0"/>
          <w:numId w:val="1"/>
        </w:numPr>
        <w:rPr>
          <w:sz w:val="24"/>
          <w:szCs w:val="24"/>
          <w:lang w:val="vi-VN"/>
        </w:rPr>
      </w:pPr>
      <w:r>
        <w:rPr>
          <w:sz w:val="24"/>
          <w:szCs w:val="24"/>
          <w:lang w:val="vi-VN"/>
        </w:rPr>
        <w:t>Fiat-collateralized stablecoins (Stablecoin được thế chấp, đảm bảo bằng tiền pháp định)</w:t>
      </w:r>
    </w:p>
    <w:p w14:paraId="4610F090" w14:textId="02FEFA9B" w:rsidR="00A50451" w:rsidRPr="00A50451" w:rsidRDefault="00A50451" w:rsidP="00A50451">
      <w:pPr>
        <w:pStyle w:val="ListParagraph"/>
        <w:shd w:val="clear" w:color="auto" w:fill="FFFFFF"/>
        <w:spacing w:after="480" w:line="240" w:lineRule="auto"/>
        <w:textAlignment w:val="baseline"/>
        <w:rPr>
          <w:sz w:val="24"/>
          <w:szCs w:val="24"/>
          <w:lang w:val="vi-VN"/>
        </w:rPr>
      </w:pPr>
      <w:r w:rsidRPr="00A50451">
        <w:rPr>
          <w:sz w:val="24"/>
          <w:szCs w:val="24"/>
          <w:lang w:val="vi-VN"/>
        </w:rPr>
        <w:t xml:space="preserve">Đây là loại stablecoin phổ biến nhất, được bảo đảm trực tiếp bằng tiền pháp định với tỷ lệ 1: 1. Chúng ta gọi đây là những stablecoin được thế chấp bằng tiền pháp định. Một tổ chức phát hành trung tâm (hoặc ngân hàng) </w:t>
      </w:r>
      <w:r w:rsidR="00554C62">
        <w:rPr>
          <w:sz w:val="24"/>
          <w:szCs w:val="24"/>
        </w:rPr>
        <w:t xml:space="preserve"> </w:t>
      </w:r>
      <w:r w:rsidRPr="00A50451">
        <w:rPr>
          <w:sz w:val="24"/>
          <w:szCs w:val="24"/>
          <w:lang w:val="vi-VN"/>
        </w:rPr>
        <w:t>. </w:t>
      </w:r>
    </w:p>
    <w:p w14:paraId="12E999BC" w14:textId="5D17418B" w:rsidR="00A50451" w:rsidRPr="00A50451" w:rsidRDefault="00A50451" w:rsidP="00A50451">
      <w:pPr>
        <w:pStyle w:val="ListParagraph"/>
        <w:shd w:val="clear" w:color="auto" w:fill="FFFFFF"/>
        <w:spacing w:after="480" w:line="240" w:lineRule="auto"/>
        <w:textAlignment w:val="baseline"/>
        <w:rPr>
          <w:sz w:val="24"/>
          <w:szCs w:val="24"/>
          <w:lang w:val="vi-VN"/>
        </w:rPr>
      </w:pPr>
      <w:r w:rsidRPr="00A50451">
        <w:rPr>
          <w:sz w:val="24"/>
          <w:szCs w:val="24"/>
          <w:lang w:val="vi-VN"/>
        </w:rPr>
        <w:t>Ví dụ: nhà phát hành có thể dự trữ một triệu đô-la và phân phối một triệu token, trị giá một đô-la cho mỗi đơn vị. Người dùng có thể tự do giao dịch những thứ này như cách họ làm với token hoặc tiền mã hoá; và vào bất cứ lúc nào, chủ sở hữu cũng có thể đổi chúng lấy số USD tương đương.</w:t>
      </w:r>
    </w:p>
    <w:p w14:paraId="26BB7779" w14:textId="77777777" w:rsidR="00A50451" w:rsidRPr="00A50451" w:rsidRDefault="00A50451" w:rsidP="00A50451">
      <w:pPr>
        <w:pStyle w:val="ListParagraph"/>
        <w:shd w:val="clear" w:color="auto" w:fill="FFFFFF"/>
        <w:spacing w:after="480" w:line="240" w:lineRule="auto"/>
        <w:textAlignment w:val="baseline"/>
        <w:rPr>
          <w:sz w:val="24"/>
          <w:szCs w:val="24"/>
          <w:lang w:val="vi-VN"/>
        </w:rPr>
      </w:pPr>
      <w:r w:rsidRPr="00A50451">
        <w:rPr>
          <w:sz w:val="24"/>
          <w:szCs w:val="24"/>
          <w:lang w:val="vi-VN"/>
        </w:rPr>
        <w:t>Rõ ràng có một rủi ro không thể giảm thiểu nằm ở phía đơn vị phát hành. Vì vậy, các công ty này phải thực sự đáng tin cậy. Không có cách nào để người dùng xác định một cách chắc chắn liệu tổ chức phát hành có dự trữ đúng số tiền cam kết hay không. Tốt nhất, công ty phát hành nên cố gắng minh bạch nhất có thể khi công bố các báo cáo kiểm toán, nhưng hệ thống này không phải là </w:t>
      </w:r>
      <w:hyperlink r:id="rId9" w:tgtFrame="_blank" w:history="1">
        <w:r w:rsidRPr="00A50451">
          <w:rPr>
            <w:sz w:val="24"/>
            <w:szCs w:val="24"/>
            <w:lang w:val="vi-VN"/>
          </w:rPr>
          <w:t>đáng tin cậy</w:t>
        </w:r>
      </w:hyperlink>
      <w:r w:rsidRPr="00A50451">
        <w:rPr>
          <w:sz w:val="24"/>
          <w:szCs w:val="24"/>
          <w:lang w:val="vi-VN"/>
        </w:rPr>
        <w:t> 100%.</w:t>
      </w:r>
    </w:p>
    <w:p w14:paraId="41C879AF" w14:textId="77777777" w:rsidR="00BE7518" w:rsidRDefault="00BE7518" w:rsidP="00BE7518">
      <w:pPr>
        <w:pStyle w:val="ListParagraph"/>
        <w:rPr>
          <w:sz w:val="24"/>
          <w:szCs w:val="24"/>
          <w:lang w:val="vi-VN"/>
        </w:rPr>
      </w:pPr>
    </w:p>
    <w:p w14:paraId="3E2B627B" w14:textId="083DE97E" w:rsidR="00BE7518" w:rsidRPr="006C29A8" w:rsidRDefault="00BE7518" w:rsidP="00BE7518">
      <w:pPr>
        <w:pStyle w:val="ListParagraph"/>
        <w:numPr>
          <w:ilvl w:val="0"/>
          <w:numId w:val="1"/>
        </w:numPr>
        <w:rPr>
          <w:sz w:val="24"/>
          <w:szCs w:val="24"/>
          <w:lang w:val="vi-VN"/>
        </w:rPr>
      </w:pPr>
      <w:r>
        <w:rPr>
          <w:sz w:val="24"/>
          <w:szCs w:val="24"/>
          <w:lang w:val="vi-VN"/>
        </w:rPr>
        <w:t>Crypto-</w:t>
      </w:r>
      <w:r w:rsidR="008B50C1">
        <w:rPr>
          <w:sz w:val="24"/>
          <w:szCs w:val="24"/>
          <w:lang w:val="vi-VN"/>
        </w:rPr>
        <w:t>collateralized</w:t>
      </w:r>
      <w:r>
        <w:rPr>
          <w:sz w:val="24"/>
          <w:szCs w:val="24"/>
          <w:lang w:val="vi-VN"/>
        </w:rPr>
        <w:t xml:space="preserve"> stablecoins</w:t>
      </w:r>
      <w:r w:rsidR="004040F6">
        <w:rPr>
          <w:sz w:val="24"/>
          <w:szCs w:val="24"/>
        </w:rPr>
        <w:t xml:space="preserve"> (Stablecoin được hỗ trợ, đảm bảo bằng lo</w:t>
      </w:r>
      <w:r w:rsidR="006C29A8">
        <w:rPr>
          <w:sz w:val="24"/>
          <w:szCs w:val="24"/>
        </w:rPr>
        <w:t>ại bằng tiền điện tử khác</w:t>
      </w:r>
      <w:r w:rsidR="004040F6">
        <w:rPr>
          <w:sz w:val="24"/>
          <w:szCs w:val="24"/>
        </w:rPr>
        <w:t>)</w:t>
      </w:r>
    </w:p>
    <w:p w14:paraId="0D85E020" w14:textId="2DAE0016" w:rsidR="006C29A8" w:rsidRPr="006C29A8" w:rsidRDefault="006C29A8" w:rsidP="006C29A8">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6C29A8">
        <w:rPr>
          <w:rFonts w:asciiTheme="minorHAnsi" w:eastAsiaTheme="minorHAnsi" w:hAnsiTheme="minorHAnsi" w:cstheme="minorBidi"/>
          <w:lang w:val="vi-VN"/>
        </w:rPr>
        <w:lastRenderedPageBreak/>
        <w:t>Vâng, điều này có vẻ hơi lạc lõng khi bạn nghĩ về tiền điện tử sao lưu stablecoin. Còn sự biến động của tiền điện tử thì sao? Làm thế nào bạn có thể mong đợi sự ổn định trong stablecoin được hỗ trợ bởi tiền điện tử? Trên thực tế, stablecoin được thế chấp tiền điện tử cung cấp </w:t>
      </w:r>
      <w:r w:rsidR="0011364D">
        <w:rPr>
          <w:rFonts w:asciiTheme="minorHAnsi" w:eastAsiaTheme="minorHAnsi" w:hAnsiTheme="minorHAnsi" w:cstheme="minorBidi"/>
          <w:lang w:val="vi-VN"/>
        </w:rPr>
        <w:t>biến động</w:t>
      </w:r>
      <w:r w:rsidRPr="006C29A8">
        <w:rPr>
          <w:rFonts w:asciiTheme="minorHAnsi" w:eastAsiaTheme="minorHAnsi" w:hAnsiTheme="minorHAnsi" w:cstheme="minorBidi"/>
          <w:lang w:val="vi-VN"/>
        </w:rPr>
        <w:t xml:space="preserve"> hơn so với stablecoin được thế chấp fiat. Ngoài ra, </w:t>
      </w:r>
      <w:bookmarkStart w:id="0" w:name="_Hlk95799375"/>
      <w:bookmarkStart w:id="1" w:name="_GoBack"/>
      <w:r w:rsidRPr="006C29A8">
        <w:rPr>
          <w:rFonts w:asciiTheme="minorHAnsi" w:eastAsiaTheme="minorHAnsi" w:hAnsiTheme="minorHAnsi" w:cstheme="minorBidi"/>
          <w:lang w:val="vi-VN"/>
        </w:rPr>
        <w:t>stablecoin thường được thế chấp quá mức để hấp thụ biến động giá làm tài sản thế chấp</w:t>
      </w:r>
      <w:bookmarkEnd w:id="0"/>
      <w:bookmarkEnd w:id="1"/>
      <w:r w:rsidRPr="006C29A8">
        <w:rPr>
          <w:rFonts w:asciiTheme="minorHAnsi" w:eastAsiaTheme="minorHAnsi" w:hAnsiTheme="minorHAnsi" w:cstheme="minorBidi"/>
          <w:lang w:val="vi-VN"/>
        </w:rPr>
        <w:t>. Chúng ta hãy cố gắng hiểu các loại stablecoin được hỗ trợ bằng tiền điện tử với một ví dụ.</w:t>
      </w:r>
    </w:p>
    <w:p w14:paraId="63F3E013" w14:textId="139FC052" w:rsidR="006C29A8" w:rsidRPr="006C29A8" w:rsidRDefault="006C29A8" w:rsidP="006C29A8">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6C29A8">
        <w:rPr>
          <w:rFonts w:asciiTheme="minorHAnsi" w:eastAsiaTheme="minorHAnsi" w:hAnsiTheme="minorHAnsi" w:cstheme="minorBidi"/>
          <w:lang w:val="vi-VN"/>
        </w:rPr>
        <w:t>Giả sử rằng bạn phải gửi ether trị giá gần 1000 đô la để có được stablecoin trị giá 500 đô la. Do đó, bạn có thể thấy rằng stablecoin được thế chấp 200%, do đó ngụ ý khả năng chịu đựng sự sụt giảm giá 25%. Sau khi giảm giá, bạn vẫn sẽ có stablecoin trị giá 500 đô la, mặc dù với sự ủng hộ của Ether trị giá 750 đô la. Nếu giá tài sản thế chấp tiền điện tử giảm đáng kể, thì stablecoin sẽ tự động bị thanh lý.</w:t>
      </w:r>
    </w:p>
    <w:p w14:paraId="1818471B" w14:textId="77777777" w:rsidR="006C29A8" w:rsidRPr="006C29A8" w:rsidRDefault="006C29A8" w:rsidP="006C29A8">
      <w:pPr>
        <w:pStyle w:val="NormalWeb"/>
        <w:shd w:val="clear" w:color="auto" w:fill="FFFFFF"/>
        <w:spacing w:before="0" w:beforeAutospacing="0" w:after="255" w:afterAutospacing="0"/>
        <w:ind w:left="720"/>
        <w:jc w:val="both"/>
        <w:textAlignment w:val="baseline"/>
        <w:rPr>
          <w:rFonts w:asciiTheme="minorHAnsi" w:eastAsiaTheme="minorHAnsi" w:hAnsiTheme="minorHAnsi" w:cstheme="minorBidi"/>
          <w:lang w:val="vi-VN"/>
        </w:rPr>
      </w:pPr>
      <w:r w:rsidRPr="006C29A8">
        <w:rPr>
          <w:rFonts w:asciiTheme="minorHAnsi" w:eastAsiaTheme="minorHAnsi" w:hAnsiTheme="minorHAnsi" w:cstheme="minorBidi"/>
          <w:lang w:val="vi-VN"/>
        </w:rPr>
        <w:t>Đặc điểm quan trọng nhất bạn có thể xác định trong mục này trong số các danh mục stablecoin là phân cấp. Stablecoin được hỗ trợ bởi tiền điện tử có thể giúp các quy trình trở nên không tin cậy hơn với bảo mật được cải thiện và tính minh bạch tốt hơn. Không có bất kỳ thực thể nào kiểm soát tiền của bạn, bạn có lợi ích của việc phân cấp.</w:t>
      </w:r>
    </w:p>
    <w:p w14:paraId="1093184B" w14:textId="607B4246" w:rsidR="006C29A8" w:rsidRPr="006C29A8" w:rsidRDefault="006C29A8" w:rsidP="006C29A8">
      <w:pPr>
        <w:pStyle w:val="NormalWeb"/>
        <w:shd w:val="clear" w:color="auto" w:fill="FFFFFF"/>
        <w:spacing w:before="0" w:beforeAutospacing="0" w:after="255" w:afterAutospacing="0"/>
        <w:ind w:left="720"/>
        <w:jc w:val="both"/>
        <w:textAlignment w:val="baseline"/>
        <w:rPr>
          <w:rFonts w:asciiTheme="minorHAnsi" w:eastAsiaTheme="minorHAnsi" w:hAnsiTheme="minorHAnsi" w:cstheme="minorBidi"/>
        </w:rPr>
      </w:pPr>
      <w:r w:rsidRPr="006C29A8">
        <w:rPr>
          <w:rFonts w:asciiTheme="minorHAnsi" w:eastAsiaTheme="minorHAnsi" w:hAnsiTheme="minorHAnsi" w:cstheme="minorBidi"/>
          <w:lang w:val="vi-VN"/>
        </w:rPr>
        <w:t>Hơn nữa, một số stablecoin được hỗ trợ bởi tiền điện tử cũng có sự ủng hộ của nhiều loại tiền điện tử để đảm bảo phân phối rủi ro hiệu quả. Ngoài ra, stablecoin được hỗ trợ bởi tiền điện tử cũng có lợi thế về thanh khoản được cải thiện. Tuy nhiên, stablecoin thế chấp tiền điện tử là một trong những loại stablecoin phức tạp nhất được sử dụng ngay bây giờ</w:t>
      </w:r>
      <w:r>
        <w:rPr>
          <w:rFonts w:asciiTheme="minorHAnsi" w:eastAsiaTheme="minorHAnsi" w:hAnsiTheme="minorHAnsi" w:cstheme="minorBidi"/>
        </w:rPr>
        <w:t>.</w:t>
      </w:r>
    </w:p>
    <w:p w14:paraId="71CC9B4F" w14:textId="32250729" w:rsidR="00BE7518" w:rsidRPr="00F314EA" w:rsidRDefault="00BE7518" w:rsidP="00BE7518">
      <w:pPr>
        <w:pStyle w:val="ListParagraph"/>
        <w:numPr>
          <w:ilvl w:val="0"/>
          <w:numId w:val="1"/>
        </w:numPr>
        <w:rPr>
          <w:sz w:val="24"/>
          <w:szCs w:val="24"/>
          <w:lang w:val="vi-VN"/>
        </w:rPr>
      </w:pPr>
      <w:r>
        <w:rPr>
          <w:sz w:val="24"/>
          <w:szCs w:val="24"/>
          <w:lang w:val="vi-VN"/>
        </w:rPr>
        <w:t>Commodity-</w:t>
      </w:r>
      <w:r w:rsidR="008B50C1">
        <w:rPr>
          <w:sz w:val="24"/>
          <w:szCs w:val="24"/>
          <w:lang w:val="vi-VN"/>
        </w:rPr>
        <w:t>collateralized</w:t>
      </w:r>
      <w:r>
        <w:rPr>
          <w:sz w:val="24"/>
          <w:szCs w:val="24"/>
          <w:lang w:val="vi-VN"/>
        </w:rPr>
        <w:t xml:space="preserve"> stablecoins</w:t>
      </w:r>
      <w:r w:rsidR="006C29A8">
        <w:rPr>
          <w:sz w:val="24"/>
          <w:szCs w:val="24"/>
        </w:rPr>
        <w:t xml:space="preserve"> (Stablecoin được hỗ trợ, đảm bảo bằng hàng hóa)</w:t>
      </w:r>
    </w:p>
    <w:p w14:paraId="26C7DA69" w14:textId="6D84DD65" w:rsidR="00F314EA" w:rsidRPr="002614AD" w:rsidRDefault="00F314EA" w:rsidP="002614AD">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 xml:space="preserve">Mục thứ hai trong câu trả lời cho 'các loại stablecoin khác nhau là gì? ' mang lại ánh đèn sân khấu trên stablecoin được hỗ trợ bởi hàng hóa. Như tên gọi rõ ràng, stablecoin được hỗ trợ bởi hàng hóa có sự ủng hộ của các loại tài sản có thể hoán đổi cho nhau khác nhau như kim loại </w:t>
      </w:r>
      <w:r w:rsidR="002340C1">
        <w:rPr>
          <w:rFonts w:asciiTheme="minorHAnsi" w:eastAsiaTheme="minorHAnsi" w:hAnsiTheme="minorHAnsi" w:cstheme="minorBidi"/>
          <w:lang w:val="vi-VN"/>
        </w:rPr>
        <w:t>quý, dầu, ...</w:t>
      </w:r>
      <w:r w:rsidRPr="002614AD">
        <w:rPr>
          <w:rFonts w:asciiTheme="minorHAnsi" w:eastAsiaTheme="minorHAnsi" w:hAnsiTheme="minorHAnsi" w:cstheme="minorBidi"/>
          <w:lang w:val="vi-VN"/>
        </w:rPr>
        <w:t>. Hàng hóa phổ biến nhất được sử dụng làm tài sản thế chấp cho stablecoin được hỗ trợ hàng hóa là vàng.</w:t>
      </w:r>
    </w:p>
    <w:p w14:paraId="5C12BA6C" w14:textId="5B8D47EE" w:rsidR="00F314EA" w:rsidRPr="002614AD" w:rsidRDefault="00F314EA" w:rsidP="002614AD">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Ngoài ra, bạn cũng có thể tìm thấy nhiều stablecoin khác với sự hỗ trợ của các tài sản như bất động sản, dầu mỏ và kim loại quý khác ngoài vàng. Chủ sở hữu của stablecoin thế chấp hàng hóa về cơ bản thực hiện quyền sở hữu đối với một tài sản hữu hình có giá trị thực. Đây là một lợi thế đáng gờm so với phần lớn các loại tiền điện tử.</w:t>
      </w:r>
    </w:p>
    <w:p w14:paraId="558697A0" w14:textId="77777777" w:rsidR="00F314EA" w:rsidRPr="002614AD" w:rsidRDefault="00F314EA" w:rsidP="002614AD">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Các mặt hàng thường cung cấp khả năng để đánh giá cao giá trị trong suốt thời gian. Do đó, các loại stablecoin như vậy có xu hướng cung cấp các ưu đãi tốt hơn cho những người nắm giữ và sử dụng stablecoin được hỗ trợ bởi hàng hóa. Hơn nữa, stablecoin thế chấp hàng hóa cũng cho phép bất cứ ai trên thế giới đầu tư vào các kim loại quý như vàng.</w:t>
      </w:r>
    </w:p>
    <w:p w14:paraId="2773BF86" w14:textId="77777777" w:rsidR="00F314EA" w:rsidRPr="002614AD" w:rsidRDefault="00F314EA" w:rsidP="002614AD">
      <w:pPr>
        <w:pStyle w:val="NormalWeb"/>
        <w:shd w:val="clear" w:color="auto" w:fill="FFFFFF"/>
        <w:spacing w:before="0" w:beforeAutospacing="0" w:after="255"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Theo truyền thống, các mặt hàng như vậy chỉ giới hạn ở tầng lớp đặc quyền tài chính. Tuy nhiên, stablecoin được hỗ trợ bởi hàng hóa tạo ra cơ hội đầu tư mới cho người bình thường, bất kể địa lý.</w:t>
      </w:r>
    </w:p>
    <w:p w14:paraId="5BD2741B" w14:textId="56A11E8E" w:rsidR="00A91A05" w:rsidRPr="002614AD" w:rsidRDefault="00A91A05" w:rsidP="002614AD">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 xml:space="preserve">Ví dụ phổ biến nhất của stablecoin được hỗ trợ hàng hóa đề cập đến Digix Gold hoặc DGX. Về cơ bản, nó là một token ERC-20 được phát triển trên mạng Ethereum với sự hỗ trợ của vàng vật lý. Digix Gold cho thấy minh họa hoàn hảo về các loại stablecoin được hỗ trợ hàng hóa bằng cách chốt một DGX với một gram vàng. Vàng vẫn còn dự trữ tại </w:t>
      </w:r>
      <w:r w:rsidRPr="002614AD">
        <w:rPr>
          <w:rFonts w:asciiTheme="minorHAnsi" w:eastAsiaTheme="minorHAnsi" w:hAnsiTheme="minorHAnsi" w:cstheme="minorBidi"/>
          <w:lang w:val="vi-VN"/>
        </w:rPr>
        <w:lastRenderedPageBreak/>
        <w:t>Singapore trong khi trải qua kiểm toán trong thời gian ba tháng để đảm bảo tính minh bạch.</w:t>
      </w:r>
    </w:p>
    <w:p w14:paraId="33BD1856" w14:textId="77777777" w:rsidR="00A91A05" w:rsidRPr="002614AD" w:rsidRDefault="00A91A05" w:rsidP="00A91A05">
      <w:pPr>
        <w:pStyle w:val="NormalWeb"/>
        <w:shd w:val="clear" w:color="auto" w:fill="FFFFFF"/>
        <w:spacing w:before="0" w:beforeAutospacing="0" w:after="0" w:afterAutospacing="0"/>
        <w:ind w:left="720"/>
        <w:jc w:val="both"/>
        <w:textAlignment w:val="baseline"/>
        <w:rPr>
          <w:rFonts w:asciiTheme="minorHAnsi" w:eastAsiaTheme="minorHAnsi" w:hAnsiTheme="minorHAnsi" w:cstheme="minorBidi"/>
          <w:lang w:val="vi-VN"/>
        </w:rPr>
      </w:pPr>
      <w:r w:rsidRPr="002614AD">
        <w:rPr>
          <w:rFonts w:asciiTheme="minorHAnsi" w:eastAsiaTheme="minorHAnsi" w:hAnsiTheme="minorHAnsi" w:cstheme="minorBidi"/>
          <w:lang w:val="vi-VN"/>
        </w:rPr>
        <w:t>Người dùng cũng có thể linh hoạt đổi các thỏi vàng vật lý bằng cách ghé thăm khu bảo tồn ở Singapore. Các ví dụ khác về stablecoin thế chấp hàng hóa bao gồm Tiberius Coin hoặc TCX và SwissRealCoin hoặc SRC. Tiberius Coin có sự ủng hộ của không chỉ một mà là sự kết hợp của bảy kim loại quý khác nhau. Mặt khác, SRC có sự ủng hộ của một danh mục đầu tư bất động sản Thụy Sĩ.</w:t>
      </w:r>
    </w:p>
    <w:p w14:paraId="255899F0" w14:textId="77777777" w:rsidR="00F314EA" w:rsidRDefault="00F314EA" w:rsidP="00F314EA">
      <w:pPr>
        <w:pStyle w:val="ListParagraph"/>
        <w:rPr>
          <w:sz w:val="24"/>
          <w:szCs w:val="24"/>
          <w:lang w:val="vi-VN"/>
        </w:rPr>
      </w:pPr>
    </w:p>
    <w:p w14:paraId="0B35BDEF" w14:textId="4A901EC7" w:rsidR="00BE7518" w:rsidRDefault="00BE7518" w:rsidP="00BE7518">
      <w:pPr>
        <w:pStyle w:val="ListParagraph"/>
        <w:numPr>
          <w:ilvl w:val="0"/>
          <w:numId w:val="1"/>
        </w:numPr>
        <w:rPr>
          <w:sz w:val="24"/>
          <w:szCs w:val="24"/>
          <w:lang w:val="vi-VN"/>
        </w:rPr>
      </w:pPr>
      <w:r>
        <w:rPr>
          <w:sz w:val="24"/>
          <w:szCs w:val="24"/>
          <w:lang w:val="vi-VN"/>
        </w:rPr>
        <w:t>Algorithmic stablecoins</w:t>
      </w:r>
      <w:r w:rsidR="00E31B24">
        <w:rPr>
          <w:sz w:val="24"/>
          <w:szCs w:val="24"/>
          <w:lang w:val="vi-VN"/>
        </w:rPr>
        <w:t xml:space="preserve"> (non-collateralized stablecoins)</w:t>
      </w:r>
    </w:p>
    <w:p w14:paraId="68E5F7BA" w14:textId="77777777" w:rsidR="00A91A05" w:rsidRPr="004E1A92" w:rsidRDefault="00A91A05" w:rsidP="00A91A05">
      <w:pPr>
        <w:pStyle w:val="NormalWeb"/>
        <w:shd w:val="clear" w:color="auto" w:fill="FFFFFF"/>
        <w:spacing w:before="0" w:beforeAutospacing="0" w:after="255" w:afterAutospacing="0"/>
        <w:ind w:left="720"/>
        <w:jc w:val="both"/>
        <w:textAlignment w:val="baseline"/>
        <w:rPr>
          <w:rFonts w:ascii="inherit" w:hAnsi="inherit" w:cs="Arial"/>
          <w:color w:val="19232D"/>
          <w:bdr w:val="none" w:sz="0" w:space="0" w:color="auto" w:frame="1"/>
        </w:rPr>
      </w:pPr>
      <w:r w:rsidRPr="004E1A92">
        <w:rPr>
          <w:rFonts w:ascii="inherit" w:hAnsi="inherit" w:cs="Arial"/>
          <w:color w:val="19232D"/>
          <w:bdr w:val="none" w:sz="0" w:space="0" w:color="auto" w:frame="1"/>
        </w:rPr>
        <w:t>Sự bổ sung cuối cùng trong số các danh mục stablecoin sẽ đưa chúng ta đến stablecoin không thế chấp hoặc thuật toán. Stablecoin không thế chấp hoặc thuật toán không có bất kỳ tài sản hoặc tài sản thế chấp nào để hỗ trợ chúng. Vì vậy, làm thế nào để stablecoin thuật toán được phân loại là stablecoin khi chúng không có bất kỳ tài sản thế chấp nào để sao lưu chúng?</w:t>
      </w:r>
    </w:p>
    <w:p w14:paraId="595D8664" w14:textId="77777777" w:rsidR="00A91A05" w:rsidRPr="004E1A92" w:rsidRDefault="00A91A05" w:rsidP="00A91A05">
      <w:pPr>
        <w:pStyle w:val="NormalWeb"/>
        <w:shd w:val="clear" w:color="auto" w:fill="FFFFFF"/>
        <w:spacing w:before="0" w:beforeAutospacing="0" w:after="0" w:afterAutospacing="0"/>
        <w:ind w:left="720"/>
        <w:jc w:val="both"/>
        <w:textAlignment w:val="baseline"/>
        <w:rPr>
          <w:rFonts w:ascii="inherit" w:hAnsi="inherit" w:cs="Arial"/>
          <w:color w:val="19232D"/>
          <w:bdr w:val="none" w:sz="0" w:space="0" w:color="auto" w:frame="1"/>
        </w:rPr>
      </w:pPr>
      <w:r>
        <w:rPr>
          <w:rFonts w:ascii="inherit" w:hAnsi="inherit" w:cs="Arial"/>
          <w:color w:val="19232D"/>
          <w:bdr w:val="none" w:sz="0" w:space="0" w:color="auto" w:frame="1"/>
        </w:rPr>
        <w:t>Các stablecoin không thế chấp hoặc thuật toán tuân theo một thuật toán để kiểm soát nguồn cung stablecoin. Một loại cách tiếp cận như vậy còn được gọi là cổ phiếu seignorage. Với sự gia tăng nhu cầu, stablecoin mới sẽ được tạo ra để giảm giá xuống mức bình thường. Trong trường hợp giao dịch tiền xu thấp đáng kể, tiền xu trên thị trường được mua để giảm nguồn cung lưu thông.</w:t>
      </w:r>
    </w:p>
    <w:p w14:paraId="73F992C6" w14:textId="18807511" w:rsidR="00A91A05" w:rsidRPr="004E1A92" w:rsidRDefault="00A91A05" w:rsidP="00A91A05">
      <w:pPr>
        <w:pStyle w:val="NormalWeb"/>
        <w:shd w:val="clear" w:color="auto" w:fill="FFFFFF"/>
        <w:spacing w:before="0" w:beforeAutospacing="0" w:after="0" w:afterAutospacing="0"/>
        <w:ind w:left="720"/>
        <w:jc w:val="both"/>
        <w:textAlignment w:val="baseline"/>
        <w:rPr>
          <w:rFonts w:ascii="inherit" w:hAnsi="inherit" w:cs="Arial"/>
          <w:color w:val="19232D"/>
          <w:bdr w:val="none" w:sz="0" w:space="0" w:color="auto" w:frame="1"/>
        </w:rPr>
      </w:pPr>
      <w:r w:rsidRPr="004E1A92">
        <w:rPr>
          <w:rFonts w:ascii="inherit" w:hAnsi="inherit" w:cs="Arial"/>
          <w:color w:val="19232D"/>
          <w:bdr w:val="none" w:sz="0" w:space="0" w:color="auto" w:frame="1"/>
        </w:rPr>
        <w:t>Về cơ bản, stablecoin thuật toán có thể cung cấp sự ổn định theo các nguyên lý cung và cầu thị trường. Ngoài ra, điều quan trọng cần lưu ý là stablecoin thuật toán có mức độ phân cấp và độc lập cao nhất. Mặt khác, các loại blockchain thuật toán như vậy phụ thuộc vào sự tăng trưởng liên tục để đảm bảo thành công. Bạn nên biết rằng không có tài sản thế chấp liên quan đến stablecoin thuật toán cho thanh khoản và mọi người đều có thể mất tiền trong trường hợp sụp đổ.</w:t>
      </w:r>
    </w:p>
    <w:p w14:paraId="2DBF71E4" w14:textId="2480FC51" w:rsidR="00A771D5" w:rsidRDefault="00A771D5" w:rsidP="00A91A05">
      <w:pPr>
        <w:pStyle w:val="ListParagraph"/>
        <w:rPr>
          <w:rFonts w:ascii="inherit" w:eastAsia="Times New Roman" w:hAnsi="inherit" w:cs="Arial"/>
          <w:color w:val="19232D"/>
          <w:sz w:val="24"/>
          <w:szCs w:val="24"/>
          <w:bdr w:val="none" w:sz="0" w:space="0" w:color="auto" w:frame="1"/>
        </w:rPr>
      </w:pPr>
    </w:p>
    <w:p w14:paraId="035C63A8" w14:textId="0A67C84D" w:rsidR="00A771D5" w:rsidRDefault="00A771D5" w:rsidP="00A91A05">
      <w:pPr>
        <w:pStyle w:val="ListParagraph"/>
        <w:rPr>
          <w:rFonts w:ascii="inherit" w:eastAsia="Times New Roman" w:hAnsi="inherit" w:cs="Arial"/>
          <w:color w:val="19232D"/>
          <w:sz w:val="24"/>
          <w:szCs w:val="24"/>
          <w:bdr w:val="none" w:sz="0" w:space="0" w:color="auto" w:frame="1"/>
        </w:rPr>
      </w:pPr>
    </w:p>
    <w:p w14:paraId="4A7BE227" w14:textId="28D8B216" w:rsidR="00A771D5" w:rsidRDefault="00855506" w:rsidP="00A91A05">
      <w:pPr>
        <w:pStyle w:val="ListParagraph"/>
        <w:rPr>
          <w:rFonts w:ascii="inherit" w:eastAsia="Times New Roman" w:hAnsi="inherit" w:cs="Arial"/>
          <w:color w:val="19232D"/>
          <w:sz w:val="24"/>
          <w:szCs w:val="24"/>
          <w:bdr w:val="none" w:sz="0" w:space="0" w:color="auto" w:frame="1"/>
        </w:rPr>
      </w:pPr>
      <w:r>
        <w:rPr>
          <w:rFonts w:ascii="inherit" w:eastAsia="Times New Roman" w:hAnsi="inherit" w:cs="Arial"/>
          <w:color w:val="19232D"/>
          <w:sz w:val="24"/>
          <w:szCs w:val="24"/>
          <w:bdr w:val="none" w:sz="0" w:space="0" w:color="auto" w:frame="1"/>
        </w:rPr>
        <w:t>Một số cơ chế điều chỉnh giá hiện nay :</w:t>
      </w:r>
    </w:p>
    <w:p w14:paraId="1C34D06F" w14:textId="4D8915D4" w:rsidR="00855506" w:rsidRDefault="00855506" w:rsidP="00855506">
      <w:pPr>
        <w:pStyle w:val="ListParagraph"/>
        <w:numPr>
          <w:ilvl w:val="0"/>
          <w:numId w:val="1"/>
        </w:numPr>
        <w:rPr>
          <w:rFonts w:ascii="inherit" w:eastAsia="Times New Roman" w:hAnsi="inherit" w:cs="Arial"/>
          <w:color w:val="19232D"/>
          <w:sz w:val="24"/>
          <w:szCs w:val="24"/>
          <w:bdr w:val="none" w:sz="0" w:space="0" w:color="auto" w:frame="1"/>
        </w:rPr>
      </w:pPr>
      <w:r>
        <w:rPr>
          <w:rFonts w:ascii="inherit" w:eastAsia="Times New Roman" w:hAnsi="inherit" w:cs="Arial"/>
          <w:color w:val="19232D"/>
          <w:sz w:val="24"/>
          <w:szCs w:val="24"/>
          <w:bdr w:val="none" w:sz="0" w:space="0" w:color="auto" w:frame="1"/>
        </w:rPr>
        <w:t>Redeem and Expand</w:t>
      </w:r>
    </w:p>
    <w:p w14:paraId="1F1751C4" w14:textId="5039CBCC" w:rsidR="00855506" w:rsidRDefault="00855506" w:rsidP="00855506">
      <w:pPr>
        <w:pStyle w:val="ListParagraph"/>
        <w:numPr>
          <w:ilvl w:val="0"/>
          <w:numId w:val="1"/>
        </w:numPr>
        <w:rPr>
          <w:rFonts w:ascii="inherit" w:eastAsia="Times New Roman" w:hAnsi="inherit" w:cs="Arial"/>
          <w:color w:val="19232D"/>
          <w:sz w:val="24"/>
          <w:szCs w:val="24"/>
          <w:bdr w:val="none" w:sz="0" w:space="0" w:color="auto" w:frame="1"/>
        </w:rPr>
      </w:pPr>
      <w:r>
        <w:rPr>
          <w:rFonts w:ascii="inherit" w:eastAsia="Times New Roman" w:hAnsi="inherit" w:cs="Arial"/>
          <w:color w:val="19232D"/>
          <w:sz w:val="24"/>
          <w:szCs w:val="24"/>
          <w:bdr w:val="none" w:sz="0" w:space="0" w:color="auto" w:frame="1"/>
        </w:rPr>
        <w:t>Algorithmic</w:t>
      </w:r>
    </w:p>
    <w:p w14:paraId="544C2507" w14:textId="5252907D" w:rsidR="00855506" w:rsidRDefault="00855506" w:rsidP="00855506">
      <w:pPr>
        <w:pStyle w:val="ListParagraph"/>
        <w:numPr>
          <w:ilvl w:val="0"/>
          <w:numId w:val="1"/>
        </w:numPr>
        <w:rPr>
          <w:rFonts w:ascii="inherit" w:eastAsia="Times New Roman" w:hAnsi="inherit" w:cs="Arial"/>
          <w:color w:val="19232D"/>
          <w:sz w:val="24"/>
          <w:szCs w:val="24"/>
          <w:bdr w:val="none" w:sz="0" w:space="0" w:color="auto" w:frame="1"/>
        </w:rPr>
      </w:pPr>
      <w:r>
        <w:rPr>
          <w:rFonts w:ascii="inherit" w:eastAsia="Times New Roman" w:hAnsi="inherit" w:cs="Arial"/>
          <w:color w:val="19232D"/>
          <w:sz w:val="24"/>
          <w:szCs w:val="24"/>
          <w:bdr w:val="none" w:sz="0" w:space="0" w:color="auto" w:frame="1"/>
        </w:rPr>
        <w:t>Leveraged Loans</w:t>
      </w:r>
    </w:p>
    <w:p w14:paraId="447DE327" w14:textId="40AA6EE7" w:rsidR="00855506" w:rsidRPr="002340C1" w:rsidRDefault="001A2561" w:rsidP="00855506">
      <w:pPr>
        <w:pStyle w:val="ListParagraph"/>
        <w:rPr>
          <w:rFonts w:ascii="inherit" w:eastAsia="Times New Roman" w:hAnsi="inherit" w:cs="Arial"/>
          <w:color w:val="19232D"/>
          <w:sz w:val="24"/>
          <w:szCs w:val="24"/>
          <w:bdr w:val="none" w:sz="0" w:space="0" w:color="auto" w:frame="1"/>
          <w:lang w:val="vi-VN"/>
        </w:rPr>
      </w:pPr>
      <w:r>
        <w:rPr>
          <w:rFonts w:ascii="Roboto" w:hAnsi="Roboto"/>
          <w:color w:val="222222"/>
          <w:sz w:val="26"/>
          <w:szCs w:val="26"/>
          <w:shd w:val="clear" w:color="auto" w:fill="FFFFFF"/>
        </w:rPr>
        <w:t>Trong một ví dụ khác, hãy để tôi nói rằng bạn muốn đầu tư vào Chemzocoin (CZCOIN) có rủi ro rất cao, bạn không muốn gửi ETH của mình và có khả năng mất tất cả. Bạn có thể gửi 10 ETH vào CDP (đó là $ 1350 USD), tạo số tiền tương đương bằng Dai, sau đó gửi 1350 Dai đó cho CZCOIN. Hãy nói rằng CZCOIN gặp sự cố và bạn muốn cắt lỗ, vì vậy bạn bán lại CZCOIN cho Dai, nhưng bây giờ bạn chỉ có 800 đô la. Tin tốt mặc dù! Bạn vẫn có 10 ETH an toàn trong CDP. Để lấy lại ETH của bạn, bạn sẽ phải tìm cách thu hồi $ 250 USD để trả hết khoản vay cộng với tiền lãi, nhưng bạn rất vui vì bạn đã không mất ETH kể từ khi bạn chờ ICO tăng giá trị, giá của ETH đã tăng vọt, vì vậy bây giờ 10 ETH của bạn bây giờ trị giá $ 2100! Thế là đủ để bù lỗ cho CZCOIN.</w:t>
      </w:r>
    </w:p>
    <w:sectPr w:rsidR="00855506" w:rsidRPr="0023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94A50"/>
    <w:multiLevelType w:val="hybridMultilevel"/>
    <w:tmpl w:val="BFCEC7F0"/>
    <w:lvl w:ilvl="0" w:tplc="95F0C4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6E"/>
    <w:rsid w:val="00040555"/>
    <w:rsid w:val="00093E57"/>
    <w:rsid w:val="000D1492"/>
    <w:rsid w:val="000E1B12"/>
    <w:rsid w:val="0011364D"/>
    <w:rsid w:val="001A2561"/>
    <w:rsid w:val="002340C1"/>
    <w:rsid w:val="002614AD"/>
    <w:rsid w:val="002D6E87"/>
    <w:rsid w:val="002F0CAC"/>
    <w:rsid w:val="0030172C"/>
    <w:rsid w:val="00331F3F"/>
    <w:rsid w:val="003E7D28"/>
    <w:rsid w:val="004040F6"/>
    <w:rsid w:val="00441F7A"/>
    <w:rsid w:val="004632B8"/>
    <w:rsid w:val="00465950"/>
    <w:rsid w:val="004A0454"/>
    <w:rsid w:val="004E1A92"/>
    <w:rsid w:val="004E29AF"/>
    <w:rsid w:val="00506760"/>
    <w:rsid w:val="00554C62"/>
    <w:rsid w:val="005610A0"/>
    <w:rsid w:val="00562F37"/>
    <w:rsid w:val="00566057"/>
    <w:rsid w:val="005C4D77"/>
    <w:rsid w:val="0062589E"/>
    <w:rsid w:val="0064646E"/>
    <w:rsid w:val="00685646"/>
    <w:rsid w:val="006C29A8"/>
    <w:rsid w:val="006D50A1"/>
    <w:rsid w:val="006F71D9"/>
    <w:rsid w:val="00740202"/>
    <w:rsid w:val="00764640"/>
    <w:rsid w:val="00781D2E"/>
    <w:rsid w:val="007C4F4A"/>
    <w:rsid w:val="00855506"/>
    <w:rsid w:val="008B50C1"/>
    <w:rsid w:val="008C6EF4"/>
    <w:rsid w:val="00907DA7"/>
    <w:rsid w:val="00A213DB"/>
    <w:rsid w:val="00A2623F"/>
    <w:rsid w:val="00A50451"/>
    <w:rsid w:val="00A67569"/>
    <w:rsid w:val="00A771D5"/>
    <w:rsid w:val="00A91A05"/>
    <w:rsid w:val="00AC273A"/>
    <w:rsid w:val="00B5799B"/>
    <w:rsid w:val="00B81140"/>
    <w:rsid w:val="00BE046F"/>
    <w:rsid w:val="00BE7518"/>
    <w:rsid w:val="00BF7C7F"/>
    <w:rsid w:val="00BF7E08"/>
    <w:rsid w:val="00C07AFF"/>
    <w:rsid w:val="00C47725"/>
    <w:rsid w:val="00CE5717"/>
    <w:rsid w:val="00CF660B"/>
    <w:rsid w:val="00D75C3C"/>
    <w:rsid w:val="00D87F7D"/>
    <w:rsid w:val="00DA6577"/>
    <w:rsid w:val="00E02F2F"/>
    <w:rsid w:val="00E261A6"/>
    <w:rsid w:val="00E31B24"/>
    <w:rsid w:val="00E40E72"/>
    <w:rsid w:val="00E77A42"/>
    <w:rsid w:val="00E77CAD"/>
    <w:rsid w:val="00F153EA"/>
    <w:rsid w:val="00F314EA"/>
    <w:rsid w:val="00F463F5"/>
    <w:rsid w:val="00F72320"/>
    <w:rsid w:val="00FD7504"/>
    <w:rsid w:val="00FE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F704"/>
  <w15:chartTrackingRefBased/>
  <w15:docId w15:val="{AF53B9A8-059B-45F4-92A9-0FCBED0E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75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5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E7518"/>
    <w:rPr>
      <w:color w:val="0000FF"/>
      <w:u w:val="single"/>
    </w:rPr>
  </w:style>
  <w:style w:type="paragraph" w:customStyle="1" w:styleId="css-1f06zsb">
    <w:name w:val="css-1f06zsb"/>
    <w:basedOn w:val="Normal"/>
    <w:rsid w:val="00BE75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7518"/>
    <w:pPr>
      <w:ind w:left="720"/>
      <w:contextualSpacing/>
    </w:pPr>
  </w:style>
  <w:style w:type="paragraph" w:styleId="NormalWeb">
    <w:name w:val="Normal (Web)"/>
    <w:basedOn w:val="Normal"/>
    <w:uiPriority w:val="99"/>
    <w:unhideWhenUsed/>
    <w:rsid w:val="006C29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51713">
      <w:bodyDiv w:val="1"/>
      <w:marLeft w:val="0"/>
      <w:marRight w:val="0"/>
      <w:marTop w:val="0"/>
      <w:marBottom w:val="0"/>
      <w:divBdr>
        <w:top w:val="none" w:sz="0" w:space="0" w:color="auto"/>
        <w:left w:val="none" w:sz="0" w:space="0" w:color="auto"/>
        <w:bottom w:val="none" w:sz="0" w:space="0" w:color="auto"/>
        <w:right w:val="none" w:sz="0" w:space="0" w:color="auto"/>
      </w:divBdr>
    </w:div>
    <w:div w:id="361369500">
      <w:bodyDiv w:val="1"/>
      <w:marLeft w:val="0"/>
      <w:marRight w:val="0"/>
      <w:marTop w:val="0"/>
      <w:marBottom w:val="0"/>
      <w:divBdr>
        <w:top w:val="none" w:sz="0" w:space="0" w:color="auto"/>
        <w:left w:val="none" w:sz="0" w:space="0" w:color="auto"/>
        <w:bottom w:val="none" w:sz="0" w:space="0" w:color="auto"/>
        <w:right w:val="none" w:sz="0" w:space="0" w:color="auto"/>
      </w:divBdr>
    </w:div>
    <w:div w:id="607007959">
      <w:bodyDiv w:val="1"/>
      <w:marLeft w:val="0"/>
      <w:marRight w:val="0"/>
      <w:marTop w:val="0"/>
      <w:marBottom w:val="0"/>
      <w:divBdr>
        <w:top w:val="none" w:sz="0" w:space="0" w:color="auto"/>
        <w:left w:val="none" w:sz="0" w:space="0" w:color="auto"/>
        <w:bottom w:val="none" w:sz="0" w:space="0" w:color="auto"/>
        <w:right w:val="none" w:sz="0" w:space="0" w:color="auto"/>
      </w:divBdr>
      <w:divsChild>
        <w:div w:id="748190466">
          <w:marLeft w:val="0"/>
          <w:marRight w:val="0"/>
          <w:marTop w:val="0"/>
          <w:marBottom w:val="480"/>
          <w:divBdr>
            <w:top w:val="none" w:sz="0" w:space="0" w:color="auto"/>
            <w:left w:val="none" w:sz="0" w:space="0" w:color="auto"/>
            <w:bottom w:val="none" w:sz="0" w:space="0" w:color="auto"/>
            <w:right w:val="none" w:sz="0" w:space="0" w:color="auto"/>
          </w:divBdr>
        </w:div>
      </w:divsChild>
    </w:div>
    <w:div w:id="749542857">
      <w:bodyDiv w:val="1"/>
      <w:marLeft w:val="0"/>
      <w:marRight w:val="0"/>
      <w:marTop w:val="0"/>
      <w:marBottom w:val="0"/>
      <w:divBdr>
        <w:top w:val="none" w:sz="0" w:space="0" w:color="auto"/>
        <w:left w:val="none" w:sz="0" w:space="0" w:color="auto"/>
        <w:bottom w:val="none" w:sz="0" w:space="0" w:color="auto"/>
        <w:right w:val="none" w:sz="0" w:space="0" w:color="auto"/>
      </w:divBdr>
    </w:div>
    <w:div w:id="1015574475">
      <w:bodyDiv w:val="1"/>
      <w:marLeft w:val="0"/>
      <w:marRight w:val="0"/>
      <w:marTop w:val="0"/>
      <w:marBottom w:val="0"/>
      <w:divBdr>
        <w:top w:val="none" w:sz="0" w:space="0" w:color="auto"/>
        <w:left w:val="none" w:sz="0" w:space="0" w:color="auto"/>
        <w:bottom w:val="none" w:sz="0" w:space="0" w:color="auto"/>
        <w:right w:val="none" w:sz="0" w:space="0" w:color="auto"/>
      </w:divBdr>
      <w:divsChild>
        <w:div w:id="183322302">
          <w:marLeft w:val="0"/>
          <w:marRight w:val="0"/>
          <w:marTop w:val="0"/>
          <w:marBottom w:val="480"/>
          <w:divBdr>
            <w:top w:val="none" w:sz="0" w:space="0" w:color="auto"/>
            <w:left w:val="none" w:sz="0" w:space="0" w:color="auto"/>
            <w:bottom w:val="none" w:sz="0" w:space="0" w:color="auto"/>
            <w:right w:val="none" w:sz="0" w:space="0" w:color="auto"/>
          </w:divBdr>
        </w:div>
        <w:div w:id="2027168849">
          <w:marLeft w:val="0"/>
          <w:marRight w:val="0"/>
          <w:marTop w:val="0"/>
          <w:marBottom w:val="480"/>
          <w:divBdr>
            <w:top w:val="none" w:sz="0" w:space="0" w:color="auto"/>
            <w:left w:val="none" w:sz="0" w:space="0" w:color="auto"/>
            <w:bottom w:val="none" w:sz="0" w:space="0" w:color="auto"/>
            <w:right w:val="none" w:sz="0" w:space="0" w:color="auto"/>
          </w:divBdr>
        </w:div>
      </w:divsChild>
    </w:div>
    <w:div w:id="1511488340">
      <w:bodyDiv w:val="1"/>
      <w:marLeft w:val="0"/>
      <w:marRight w:val="0"/>
      <w:marTop w:val="0"/>
      <w:marBottom w:val="0"/>
      <w:divBdr>
        <w:top w:val="none" w:sz="0" w:space="0" w:color="auto"/>
        <w:left w:val="none" w:sz="0" w:space="0" w:color="auto"/>
        <w:bottom w:val="none" w:sz="0" w:space="0" w:color="auto"/>
        <w:right w:val="none" w:sz="0" w:space="0" w:color="auto"/>
      </w:divBdr>
    </w:div>
    <w:div w:id="2065399684">
      <w:bodyDiv w:val="1"/>
      <w:marLeft w:val="0"/>
      <w:marRight w:val="0"/>
      <w:marTop w:val="0"/>
      <w:marBottom w:val="0"/>
      <w:divBdr>
        <w:top w:val="none" w:sz="0" w:space="0" w:color="auto"/>
        <w:left w:val="none" w:sz="0" w:space="0" w:color="auto"/>
        <w:bottom w:val="none" w:sz="0" w:space="0" w:color="auto"/>
        <w:right w:val="none" w:sz="0" w:space="0" w:color="auto"/>
      </w:divBdr>
    </w:div>
    <w:div w:id="21137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binance.com/en/glossary/volatility" TargetMode="External"/><Relationship Id="rId3" Type="http://schemas.openxmlformats.org/officeDocument/2006/relationships/settings" Target="settings.xml"/><Relationship Id="rId7" Type="http://schemas.openxmlformats.org/officeDocument/2006/relationships/hyperlink" Target="https://academy.binance.com/vi/articles/what-is-ethere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binance.com/vi/articles/what-is-bitcoin" TargetMode="External"/><Relationship Id="rId11" Type="http://schemas.openxmlformats.org/officeDocument/2006/relationships/theme" Target="theme/theme1.xml"/><Relationship Id="rId5" Type="http://schemas.openxmlformats.org/officeDocument/2006/relationships/hyperlink" Target="https://academy.binance.com/vi/articles/what-is-fiat-curren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ademy.binance.com/en/glossary/trust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3</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Gia Quang</dc:creator>
  <cp:keywords/>
  <dc:description/>
  <cp:lastModifiedBy>Dinh Gia Quang</cp:lastModifiedBy>
  <cp:revision>5</cp:revision>
  <dcterms:created xsi:type="dcterms:W3CDTF">2022-02-10T15:51:00Z</dcterms:created>
  <dcterms:modified xsi:type="dcterms:W3CDTF">2022-02-15T00:55:00Z</dcterms:modified>
</cp:coreProperties>
</file>