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DBBA2" w14:textId="4164A5CA" w:rsidR="00900874" w:rsidRDefault="00867A31" w:rsidP="00867A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CG2271 Realtime Operating Systems</w:t>
      </w:r>
    </w:p>
    <w:p w14:paraId="21FC4333" w14:textId="365203B8" w:rsidR="00867A31" w:rsidRDefault="00867A31" w:rsidP="00867A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6 – Analog to Digital Conversion</w:t>
      </w:r>
    </w:p>
    <w:p w14:paraId="67E9E8B6" w14:textId="213D1685" w:rsidR="00867A31" w:rsidRDefault="00867A31" w:rsidP="00867A31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866" w14:paraId="0BFF8D75" w14:textId="77777777" w:rsidTr="00AB4591">
        <w:tc>
          <w:tcPr>
            <w:tcW w:w="4508" w:type="dxa"/>
          </w:tcPr>
          <w:p w14:paraId="07463F60" w14:textId="2129C992" w:rsidR="00D42866" w:rsidRPr="00AB4591" w:rsidRDefault="00D42866" w:rsidP="00D4286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  <w:b/>
              </w:rPr>
              <w:t>Name</w:t>
            </w:r>
          </w:p>
        </w:tc>
        <w:tc>
          <w:tcPr>
            <w:tcW w:w="4508" w:type="dxa"/>
          </w:tcPr>
          <w:p w14:paraId="2CF9F382" w14:textId="77B32262" w:rsidR="00D42866" w:rsidRPr="00AB4591" w:rsidRDefault="00D42866" w:rsidP="00D4286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  <w:b/>
              </w:rPr>
              <w:t>Student ID (</w:t>
            </w:r>
            <w:proofErr w:type="spellStart"/>
            <w:r>
              <w:rPr>
                <w:rFonts w:ascii="Aptos" w:eastAsia="Aptos" w:hAnsi="Aptos" w:cs="Aptos"/>
                <w:b/>
              </w:rPr>
              <w:t>Axxxxx</w:t>
            </w:r>
            <w:proofErr w:type="spellEnd"/>
            <w:r>
              <w:rPr>
                <w:rFonts w:ascii="Aptos" w:eastAsia="Aptos" w:hAnsi="Aptos" w:cs="Aptos"/>
                <w:b/>
              </w:rPr>
              <w:t>)</w:t>
            </w:r>
          </w:p>
        </w:tc>
      </w:tr>
      <w:tr w:rsidR="00D42866" w14:paraId="2EFA7865" w14:textId="77777777" w:rsidTr="00AB4591">
        <w:tc>
          <w:tcPr>
            <w:tcW w:w="4508" w:type="dxa"/>
          </w:tcPr>
          <w:p w14:paraId="65E28310" w14:textId="2E3B0C94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John Woo Yi Kai</w:t>
            </w:r>
          </w:p>
        </w:tc>
        <w:tc>
          <w:tcPr>
            <w:tcW w:w="4508" w:type="dxa"/>
          </w:tcPr>
          <w:p w14:paraId="3DCAFA8B" w14:textId="2A5E50B9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A0272561E</w:t>
            </w:r>
          </w:p>
        </w:tc>
      </w:tr>
      <w:tr w:rsidR="00D42866" w14:paraId="669DB7C9" w14:textId="77777777" w:rsidTr="00AB4591">
        <w:tc>
          <w:tcPr>
            <w:tcW w:w="4508" w:type="dxa"/>
          </w:tcPr>
          <w:p w14:paraId="59E9829F" w14:textId="7F4BA391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Rishi Moorthy</w:t>
            </w:r>
          </w:p>
        </w:tc>
        <w:tc>
          <w:tcPr>
            <w:tcW w:w="4508" w:type="dxa"/>
          </w:tcPr>
          <w:p w14:paraId="6E44F5FC" w14:textId="13CEF421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A0273618X</w:t>
            </w:r>
          </w:p>
        </w:tc>
      </w:tr>
      <w:tr w:rsidR="00D42866" w14:paraId="11A24079" w14:textId="77777777" w:rsidTr="00AB4591">
        <w:tc>
          <w:tcPr>
            <w:tcW w:w="4508" w:type="dxa"/>
          </w:tcPr>
          <w:p w14:paraId="4C0F0856" w14:textId="0578529C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Wang Yanjie</w:t>
            </w:r>
          </w:p>
        </w:tc>
        <w:tc>
          <w:tcPr>
            <w:tcW w:w="4508" w:type="dxa"/>
          </w:tcPr>
          <w:p w14:paraId="77BFBC28" w14:textId="7405DC1F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A0276202M</w:t>
            </w:r>
          </w:p>
        </w:tc>
      </w:tr>
      <w:tr w:rsidR="00D42866" w14:paraId="35CD159C" w14:textId="77777777" w:rsidTr="00AB4591">
        <w:tc>
          <w:tcPr>
            <w:tcW w:w="4508" w:type="dxa"/>
          </w:tcPr>
          <w:p w14:paraId="7A657945" w14:textId="1FDA8CF8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Kenneth Wong Cun Wi</w:t>
            </w:r>
          </w:p>
        </w:tc>
        <w:tc>
          <w:tcPr>
            <w:tcW w:w="4508" w:type="dxa"/>
          </w:tcPr>
          <w:p w14:paraId="21EA550A" w14:textId="1E5EDBBD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A0303203A</w:t>
            </w:r>
          </w:p>
        </w:tc>
      </w:tr>
      <w:tr w:rsidR="00D42866" w14:paraId="36015D0E" w14:textId="77777777" w:rsidTr="00AB4591">
        <w:tc>
          <w:tcPr>
            <w:tcW w:w="4508" w:type="dxa"/>
          </w:tcPr>
          <w:p w14:paraId="3FEEC434" w14:textId="3820ACBD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 xml:space="preserve">Kuek </w:t>
            </w:r>
            <w:proofErr w:type="spellStart"/>
            <w:r>
              <w:rPr>
                <w:rFonts w:ascii="Aptos" w:eastAsia="Aptos" w:hAnsi="Aptos" w:cs="Aptos"/>
              </w:rPr>
              <w:t>Yeau</w:t>
            </w:r>
            <w:proofErr w:type="spellEnd"/>
            <w:r>
              <w:rPr>
                <w:rFonts w:ascii="Aptos" w:eastAsia="Aptos" w:hAnsi="Aptos" w:cs="Aptos"/>
              </w:rPr>
              <w:t xml:space="preserve"> Hao Jonathan</w:t>
            </w:r>
          </w:p>
        </w:tc>
        <w:tc>
          <w:tcPr>
            <w:tcW w:w="4508" w:type="dxa"/>
          </w:tcPr>
          <w:p w14:paraId="45E9D0F0" w14:textId="588FA8A6" w:rsidR="00D42866" w:rsidRDefault="00D42866" w:rsidP="00D42866">
            <w:pPr>
              <w:jc w:val="both"/>
              <w:rPr>
                <w:b/>
                <w:bCs/>
                <w:lang w:val="en-US"/>
              </w:rPr>
            </w:pPr>
            <w:r>
              <w:rPr>
                <w:rFonts w:ascii="Aptos" w:eastAsia="Aptos" w:hAnsi="Aptos" w:cs="Aptos"/>
              </w:rPr>
              <w:t>A0258485M</w:t>
            </w:r>
          </w:p>
        </w:tc>
      </w:tr>
    </w:tbl>
    <w:p w14:paraId="09365EC2" w14:textId="77777777" w:rsidR="00A012F3" w:rsidRDefault="00A012F3" w:rsidP="00867A31">
      <w:pPr>
        <w:jc w:val="both"/>
        <w:rPr>
          <w:b/>
          <w:bCs/>
          <w:lang w:val="en-US"/>
        </w:rPr>
      </w:pPr>
    </w:p>
    <w:p w14:paraId="6CE040BB" w14:textId="39BFAC00" w:rsid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1. </w:t>
      </w:r>
      <w:r>
        <w:rPr>
          <w:lang w:val="en-US"/>
        </w:rPr>
        <w:t>(4 MARKS)</w:t>
      </w:r>
    </w:p>
    <w:p w14:paraId="6F8D59A4" w14:textId="6384C304" w:rsidR="00867A31" w:rsidRDefault="003F7B39" w:rsidP="00867A31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Given ref voltage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ref</m:t>
            </m:r>
          </m:sub>
        </m:sSub>
        <m:r>
          <w:rPr>
            <w:rFonts w:ascii="Cambria Math" w:hAnsi="Cambria Math"/>
            <w:lang w:val="en-US"/>
          </w:rPr>
          <m:t>=3.3V</m:t>
        </m:r>
      </m:oMath>
      <w:r>
        <w:rPr>
          <w:rFonts w:eastAsiaTheme="minorEastAsia"/>
          <w:lang w:val="en-US"/>
        </w:rPr>
        <w:t xml:space="preserve"> and ADC resolution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12</m:t>
        </m:r>
      </m:oMath>
      <w:r>
        <w:rPr>
          <w:rFonts w:eastAsiaTheme="minorEastAsia"/>
          <w:lang w:val="en-US"/>
        </w:rPr>
        <w:t xml:space="preserve"> bits, ADC accuracy is given by </w:t>
      </w:r>
    </w:p>
    <w:p w14:paraId="142C7ACE" w14:textId="7B4A81F4" w:rsidR="003F7B39" w:rsidRDefault="003F7B39" w:rsidP="003F7B3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Accuracy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3.3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3.3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4096</m:t>
            </m:r>
          </m:den>
        </m:f>
        <m:r>
          <w:rPr>
            <w:rFonts w:ascii="Cambria Math" w:eastAsiaTheme="minorEastAsia" w:hAnsi="Cambria Math"/>
            <w:lang w:val="en-US"/>
          </w:rPr>
          <m:t>=0.00081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(5d.p.)</w:t>
      </w:r>
    </w:p>
    <w:p w14:paraId="6089CB0C" w14:textId="74088EA5" w:rsidR="003F7B39" w:rsidRPr="003F7B39" w:rsidRDefault="003F7B39" w:rsidP="003F7B3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Similarly for </w:t>
      </w:r>
      <w:r>
        <w:rPr>
          <w:rFonts w:eastAsiaTheme="minorEastAsia"/>
          <w:lang w:val="en-US"/>
        </w:rPr>
        <w:t xml:space="preserve">ADC resolution </w:t>
      </w:r>
      <m:oMath>
        <m:r>
          <w:rPr>
            <w:rFonts w:ascii="Cambria Math" w:hAnsi="Cambria Math"/>
            <w:lang w:val="en-US"/>
          </w:rPr>
          <m:t>N=</m:t>
        </m:r>
        <m:r>
          <w:rPr>
            <w:rFonts w:ascii="Cambria Math" w:hAnsi="Cambria Math"/>
            <w:lang w:val="en-US"/>
          </w:rPr>
          <m:t>8</m:t>
        </m:r>
      </m:oMath>
      <w:r>
        <w:rPr>
          <w:rFonts w:eastAsiaTheme="minorEastAsia"/>
          <w:lang w:val="en-US"/>
        </w:rPr>
        <w:t xml:space="preserve"> bits</w:t>
      </w:r>
      <w:r>
        <w:rPr>
          <w:rFonts w:eastAsiaTheme="minorEastAsia"/>
          <w:lang w:val="en-US"/>
        </w:rPr>
        <w:t xml:space="preserve"> and the same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ref</m:t>
            </m:r>
          </m:sub>
        </m:sSub>
        <m:r>
          <w:rPr>
            <w:rFonts w:ascii="Cambria Math" w:hAnsi="Cambria Math"/>
            <w:lang w:val="en-US"/>
          </w:rPr>
          <m:t>=3.3V</m:t>
        </m:r>
      </m:oMath>
    </w:p>
    <w:p w14:paraId="39BF2B28" w14:textId="56C5070C" w:rsidR="003F7B39" w:rsidRDefault="003F7B39" w:rsidP="003F7B3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Accuracy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3.3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3.3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256</m:t>
            </m:r>
          </m:den>
        </m:f>
        <m:r>
          <w:rPr>
            <w:rFonts w:ascii="Cambria Math" w:eastAsiaTheme="minorEastAsia" w:hAnsi="Cambria Math"/>
            <w:lang w:val="en-US"/>
          </w:rPr>
          <m:t>=0.0</m:t>
        </m:r>
        <m:r>
          <w:rPr>
            <w:rFonts w:ascii="Cambria Math" w:eastAsiaTheme="minorEastAsia" w:hAnsi="Cambria Math"/>
            <w:lang w:val="en-US"/>
          </w:rPr>
          <m:t>1289V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(5d.p.)</w:t>
      </w:r>
    </w:p>
    <w:p w14:paraId="4C0F3299" w14:textId="5EB86AA1" w:rsidR="003F7B39" w:rsidRDefault="003F7B39" w:rsidP="003F7B39">
      <w:pPr>
        <w:rPr>
          <w:lang w:val="en-US"/>
        </w:rPr>
      </w:pPr>
    </w:p>
    <w:p w14:paraId="6061F449" w14:textId="5C412E8F" w:rsid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2. </w:t>
      </w:r>
      <w:r>
        <w:rPr>
          <w:lang w:val="en-US"/>
        </w:rPr>
        <w:t>(2 MARKS)</w:t>
      </w:r>
    </w:p>
    <w:p w14:paraId="6F6587DE" w14:textId="43F854F6" w:rsidR="00867A31" w:rsidRDefault="00433801" w:rsidP="00433801">
      <w:pPr>
        <w:jc w:val="both"/>
        <w:rPr>
          <w:lang w:val="en-US"/>
        </w:rPr>
      </w:pPr>
      <w:r>
        <w:rPr>
          <w:lang w:val="en-US"/>
        </w:rPr>
        <w:t>Advantage: Higher precision where 12-bit can detect much smaller voltage changes (0.00081V compared to 0.01289V), enabling better measurement detail. Specifically, w</w:t>
      </w:r>
      <w:r w:rsidRPr="00433801">
        <w:rPr>
          <w:lang w:val="en-US"/>
        </w:rPr>
        <w:t xml:space="preserve">ith 12 bits, the ADC can divide the input voltage range into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  <m:r>
          <w:rPr>
            <w:rFonts w:ascii="Cambria Math" w:hAnsi="Cambria Math"/>
            <w:lang w:val="en-US"/>
          </w:rPr>
          <m:t>=4096</m:t>
        </m:r>
      </m:oMath>
      <w:r>
        <w:rPr>
          <w:lang w:val="en-US"/>
        </w:rPr>
        <w:t xml:space="preserve"> </w:t>
      </w:r>
      <w:proofErr w:type="spellStart"/>
      <w:r w:rsidRPr="00433801">
        <w:rPr>
          <w:lang w:val="en-US"/>
        </w:rPr>
        <w:t>quantisation</w:t>
      </w:r>
      <w:proofErr w:type="spellEnd"/>
      <w:r w:rsidRPr="00433801">
        <w:rPr>
          <w:lang w:val="en-US"/>
        </w:rPr>
        <w:t xml:space="preserve"> levels, compared to only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256</m:t>
        </m:r>
      </m:oMath>
      <w:r w:rsidRPr="00433801">
        <w:rPr>
          <w:lang w:val="en-US"/>
        </w:rPr>
        <w:t xml:space="preserve"> levels for an 8-bit ADC.</w:t>
      </w:r>
      <w:r>
        <w:rPr>
          <w:lang w:val="en-US"/>
        </w:rPr>
        <w:t xml:space="preserve"> </w:t>
      </w:r>
      <w:r w:rsidRPr="00433801">
        <w:rPr>
          <w:lang w:val="en-US"/>
        </w:rPr>
        <w:t>This means each digital code represents a smaller voltage step,</w:t>
      </w:r>
      <w:r>
        <w:rPr>
          <w:lang w:val="en-US"/>
        </w:rPr>
        <w:t xml:space="preserve"> </w:t>
      </w:r>
      <w:r w:rsidRPr="00433801">
        <w:rPr>
          <w:lang w:val="en-US"/>
        </w:rPr>
        <w:t xml:space="preserve">giving higher measurement accuracy </w:t>
      </w:r>
      <w:r>
        <w:rPr>
          <w:lang w:val="en-US"/>
        </w:rPr>
        <w:t xml:space="preserve">and </w:t>
      </w:r>
      <w:r w:rsidRPr="00433801">
        <w:rPr>
          <w:lang w:val="en-US"/>
        </w:rPr>
        <w:t>finer encoding of the analog signal</w:t>
      </w:r>
      <w:r>
        <w:rPr>
          <w:lang w:val="en-US"/>
        </w:rPr>
        <w:t>.</w:t>
      </w:r>
    </w:p>
    <w:p w14:paraId="3F7F9894" w14:textId="77777777" w:rsidR="00433801" w:rsidRDefault="00433801" w:rsidP="00433801">
      <w:pPr>
        <w:jc w:val="both"/>
        <w:rPr>
          <w:lang w:val="en-US"/>
        </w:rPr>
      </w:pPr>
    </w:p>
    <w:p w14:paraId="1FEC3361" w14:textId="00FC634D" w:rsidR="00433801" w:rsidRDefault="00433801" w:rsidP="00433801">
      <w:pPr>
        <w:jc w:val="both"/>
        <w:rPr>
          <w:lang w:val="en-US"/>
        </w:rPr>
      </w:pPr>
      <w:r>
        <w:rPr>
          <w:lang w:val="en-US"/>
        </w:rPr>
        <w:t xml:space="preserve">Disadvantage: </w:t>
      </w:r>
      <w:r w:rsidRPr="00433801">
        <w:rPr>
          <w:lang w:val="en-US"/>
        </w:rPr>
        <w:t>From Table 23-7, the base conversion time for a 12-bit single-ended conversion is 20 ADCK cycles, compared to 17 ADCK cycles for 8-bit mode.</w:t>
      </w:r>
      <w:r>
        <w:rPr>
          <w:lang w:val="en-US"/>
        </w:rPr>
        <w:t xml:space="preserve"> </w:t>
      </w:r>
      <w:r w:rsidRPr="00433801">
        <w:rPr>
          <w:lang w:val="en-US"/>
        </w:rPr>
        <w:t>Therefore, the 12-bit ADC takes longer per conversion, resulting in slower sampling rates</w:t>
      </w:r>
      <w:r>
        <w:rPr>
          <w:lang w:val="en-US"/>
        </w:rPr>
        <w:t>.</w:t>
      </w:r>
    </w:p>
    <w:p w14:paraId="0606DCC3" w14:textId="77777777" w:rsidR="00433801" w:rsidRDefault="00433801" w:rsidP="00867A31">
      <w:pPr>
        <w:jc w:val="both"/>
        <w:rPr>
          <w:b/>
          <w:bCs/>
          <w:lang w:val="en-US"/>
        </w:rPr>
      </w:pPr>
    </w:p>
    <w:p w14:paraId="7CE39676" w14:textId="6D7A406F" w:rsid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3. </w:t>
      </w:r>
      <w:r>
        <w:rPr>
          <w:lang w:val="en-US"/>
        </w:rPr>
        <w:t>(4 MARKS)</w:t>
      </w:r>
    </w:p>
    <w:p w14:paraId="166F886C" w14:textId="77777777" w:rsidR="00F80223" w:rsidRDefault="00F80223" w:rsidP="00867A31">
      <w:pPr>
        <w:jc w:val="both"/>
        <w:rPr>
          <w:lang w:val="en-US"/>
        </w:rPr>
      </w:pPr>
      <w:r>
        <w:rPr>
          <w:lang w:val="en-US"/>
        </w:rPr>
        <w:t>According to the ADCx_SC3 field descriptions on page 370 under AVGS, the ADC can average over 4, 8, 16, or 32 samples if hardware averaging is enabled.</w:t>
      </w:r>
    </w:p>
    <w:p w14:paraId="353C7CFB" w14:textId="5A581ADB" w:rsidR="00867A31" w:rsidRDefault="00F80223" w:rsidP="00867A31">
      <w:pPr>
        <w:jc w:val="both"/>
        <w:rPr>
          <w:lang w:val="en-US"/>
        </w:rPr>
      </w:pPr>
      <w:r>
        <w:rPr>
          <w:lang w:val="en-US"/>
        </w:rPr>
        <w:lastRenderedPageBreak/>
        <w:t xml:space="preserve">Advantage of averaging is to reduce random noises </w:t>
      </w:r>
      <w:r>
        <w:rPr>
          <w:lang w:val="en-US"/>
        </w:rPr>
        <w:t xml:space="preserve">by smoothing those small fluctuations in the </w:t>
      </w:r>
      <w:proofErr w:type="gramStart"/>
      <w:r w:rsidR="0087227D">
        <w:rPr>
          <w:lang w:val="en-US"/>
        </w:rPr>
        <w:t>input signal</w:t>
      </w:r>
      <w:proofErr w:type="gramEnd"/>
      <w:r w:rsidR="0087227D">
        <w:rPr>
          <w:lang w:val="en-US"/>
        </w:rPr>
        <w:t xml:space="preserve">. This </w:t>
      </w:r>
      <w:r>
        <w:rPr>
          <w:lang w:val="en-US"/>
        </w:rPr>
        <w:t xml:space="preserve">provides </w:t>
      </w:r>
      <w:proofErr w:type="gramStart"/>
      <w:r>
        <w:rPr>
          <w:lang w:val="en-US"/>
        </w:rPr>
        <w:t>a more</w:t>
      </w:r>
      <w:proofErr w:type="gramEnd"/>
      <w:r>
        <w:rPr>
          <w:lang w:val="en-US"/>
        </w:rPr>
        <w:t xml:space="preserve"> stable and accurate reading</w:t>
      </w:r>
      <w:r w:rsidR="0087227D">
        <w:rPr>
          <w:lang w:val="en-US"/>
        </w:rPr>
        <w:t>.</w:t>
      </w:r>
    </w:p>
    <w:p w14:paraId="2242C5ED" w14:textId="43EC1B71" w:rsidR="0087227D" w:rsidRDefault="0087227D" w:rsidP="00867A31">
      <w:pPr>
        <w:jc w:val="both"/>
        <w:rPr>
          <w:lang w:val="en-US"/>
        </w:rPr>
      </w:pPr>
      <w:r>
        <w:rPr>
          <w:lang w:val="en-US"/>
        </w:rPr>
        <w:t>Disadvantage of averaging is increasing conversion time, since multiple samples need to be taken before averaging, reducing the overall sampling rate.</w:t>
      </w:r>
    </w:p>
    <w:p w14:paraId="2BE98184" w14:textId="77777777" w:rsidR="0087227D" w:rsidRDefault="0087227D" w:rsidP="00867A31">
      <w:pPr>
        <w:jc w:val="both"/>
        <w:rPr>
          <w:lang w:val="en-US"/>
        </w:rPr>
      </w:pPr>
    </w:p>
    <w:p w14:paraId="723E8D0A" w14:textId="16694532" w:rsid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4. </w:t>
      </w:r>
      <w:r>
        <w:rPr>
          <w:lang w:val="en-US"/>
        </w:rPr>
        <w:t>(3 MARKS)</w:t>
      </w:r>
    </w:p>
    <w:p w14:paraId="7034D9BD" w14:textId="056923F1" w:rsidR="00867A31" w:rsidRDefault="00BC07F2" w:rsidP="00BC07F2">
      <w:pPr>
        <w:jc w:val="both"/>
      </w:pPr>
      <w:r>
        <w:t>The best place to turn the continuous conversion back on is inside the ADC interrupt handler after reading the previous result. W</w:t>
      </w:r>
      <w:r w:rsidRPr="00BC07F2">
        <w:t>hen continuous mode is OFF (ADCO = 0)</w:t>
      </w:r>
      <w:r>
        <w:t>, e</w:t>
      </w:r>
      <w:r w:rsidRPr="00BC07F2">
        <w:t>ach ADC conversion produces one result.</w:t>
      </w:r>
      <w:r>
        <w:t xml:space="preserve"> </w:t>
      </w:r>
      <w:r w:rsidRPr="00BC07F2">
        <w:t>When the conversion completes, the COCO</w:t>
      </w:r>
      <w:r>
        <w:t xml:space="preserve"> </w:t>
      </w:r>
      <w:r w:rsidRPr="00BC07F2">
        <w:t>flag is set, and the ADC interrupt handler (ADC0_</w:t>
      </w:r>
      <w:proofErr w:type="gramStart"/>
      <w:r w:rsidRPr="00BC07F2">
        <w:t>IRQHandler(</w:t>
      </w:r>
      <w:proofErr w:type="gramEnd"/>
      <w:r w:rsidRPr="00BC07F2">
        <w:t>)) runs.</w:t>
      </w:r>
      <w:r>
        <w:t xml:space="preserve"> </w:t>
      </w:r>
      <w:r w:rsidRPr="00BC07F2">
        <w:t>After reading the result, the ADC stops until software starts the next conversion by writing to SC1[0] again.</w:t>
      </w:r>
    </w:p>
    <w:p w14:paraId="237655FA" w14:textId="48A1D649" w:rsidR="00BC07F2" w:rsidRDefault="00BC07F2" w:rsidP="00BC07F2">
      <w:pPr>
        <w:jc w:val="both"/>
      </w:pPr>
      <w:r>
        <w:t>Thus, if we want to continue sampling as quickly as possible, it would be inside the ADC0_</w:t>
      </w:r>
      <w:proofErr w:type="gramStart"/>
      <w:r>
        <w:t>IRQHandler(</w:t>
      </w:r>
      <w:proofErr w:type="gramEnd"/>
      <w:r>
        <w:t>) function after reading the ADC result. A</w:t>
      </w:r>
      <w:r w:rsidRPr="00BC07F2">
        <w:t>s soon as one conversion finishes and the interrupt fires, the handler reads the result and triggers the next conversion</w:t>
      </w:r>
      <w:r>
        <w:t>, achieving continuous conversion of samples as quickly as possible.</w:t>
      </w:r>
    </w:p>
    <w:p w14:paraId="273FDDCB" w14:textId="77777777" w:rsidR="00BC07F2" w:rsidRPr="00BC07F2" w:rsidRDefault="00BC07F2" w:rsidP="00BC07F2">
      <w:pPr>
        <w:jc w:val="both"/>
      </w:pPr>
    </w:p>
    <w:p w14:paraId="3CEBF8A8" w14:textId="2EE70844" w:rsid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5. </w:t>
      </w:r>
      <w:r>
        <w:rPr>
          <w:lang w:val="en-US"/>
        </w:rPr>
        <w:t>(2 MARKS)</w:t>
      </w:r>
    </w:p>
    <w:p w14:paraId="424BA121" w14:textId="1B251F44" w:rsidR="00B115F0" w:rsidRDefault="00B115F0" w:rsidP="00867A31">
      <w:pPr>
        <w:jc w:val="both"/>
        <w:rPr>
          <w:lang w:val="en-US"/>
        </w:rPr>
      </w:pPr>
      <w:r>
        <w:rPr>
          <w:lang w:val="en-US"/>
        </w:rPr>
        <w:t>PTE20: ADC0_SE0</w:t>
      </w:r>
    </w:p>
    <w:p w14:paraId="42E35EAB" w14:textId="1B3E5675" w:rsidR="00B115F0" w:rsidRDefault="00B115F0" w:rsidP="00867A31">
      <w:pPr>
        <w:jc w:val="both"/>
        <w:rPr>
          <w:lang w:val="en-US"/>
        </w:rPr>
      </w:pPr>
      <w:r>
        <w:rPr>
          <w:lang w:val="en-US"/>
        </w:rPr>
        <w:t>PTE21: ADC0_SE4a</w:t>
      </w:r>
    </w:p>
    <w:p w14:paraId="7D9058DC" w14:textId="6BA95E42" w:rsidR="00867A31" w:rsidRDefault="00B115F0" w:rsidP="00867A31">
      <w:pPr>
        <w:jc w:val="both"/>
        <w:rPr>
          <w:b/>
          <w:bCs/>
          <w:lang w:val="en-US"/>
        </w:rPr>
      </w:pPr>
      <w:r w:rsidRPr="00B115F0">
        <w:rPr>
          <w:b/>
          <w:bCs/>
          <w:lang w:val="en-US"/>
        </w:rPr>
        <w:drawing>
          <wp:inline distT="0" distB="0" distL="0" distR="0" wp14:anchorId="5B920A54" wp14:editId="75D129F3">
            <wp:extent cx="5731510" cy="920750"/>
            <wp:effectExtent l="0" t="0" r="2540" b="0"/>
            <wp:docPr id="920825134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5134" name="Picture 1" descr="A close up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1AE" w14:textId="77777777" w:rsidR="006404FC" w:rsidRDefault="006404FC" w:rsidP="00867A31">
      <w:pPr>
        <w:jc w:val="both"/>
        <w:rPr>
          <w:b/>
          <w:bCs/>
          <w:lang w:val="en-US"/>
        </w:rPr>
      </w:pPr>
    </w:p>
    <w:p w14:paraId="590B708F" w14:textId="5ED4E0B6" w:rsid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t xml:space="preserve">Question 6. </w:t>
      </w:r>
      <w:r>
        <w:rPr>
          <w:lang w:val="en-US"/>
        </w:rPr>
        <w:t>(2 MARKS)</w:t>
      </w:r>
    </w:p>
    <w:p w14:paraId="5B514449" w14:textId="72D9853B" w:rsidR="00581522" w:rsidRDefault="00581522" w:rsidP="00867A31">
      <w:pPr>
        <w:jc w:val="both"/>
        <w:rPr>
          <w:lang w:val="en-US"/>
        </w:rPr>
      </w:pPr>
      <w:r w:rsidRPr="00581522">
        <w:rPr>
          <w:lang w:val="en-US"/>
        </w:rPr>
        <w:t xml:space="preserve">turn is declared as static so that it retains its value between </w:t>
      </w:r>
      <w:r>
        <w:rPr>
          <w:lang w:val="en-US"/>
        </w:rPr>
        <w:t xml:space="preserve">function </w:t>
      </w:r>
      <w:r w:rsidRPr="00581522">
        <w:rPr>
          <w:lang w:val="en-US"/>
        </w:rPr>
        <w:t>calls to ADC0_</w:t>
      </w:r>
      <w:proofErr w:type="gramStart"/>
      <w:r w:rsidRPr="00581522">
        <w:rPr>
          <w:lang w:val="en-US"/>
        </w:rPr>
        <w:t>IRQHandler(</w:t>
      </w:r>
      <w:proofErr w:type="gramEnd"/>
      <w:r w:rsidRPr="00581522">
        <w:rPr>
          <w:lang w:val="en-US"/>
        </w:rPr>
        <w:t>). With static, the variable lives for the lifetime of the program but is only accessible inside the function.</w:t>
      </w:r>
      <w:r>
        <w:rPr>
          <w:lang w:val="en-US"/>
        </w:rPr>
        <w:t xml:space="preserve"> </w:t>
      </w:r>
      <w:r w:rsidRPr="00581522">
        <w:rPr>
          <w:lang w:val="en-US"/>
        </w:rPr>
        <w:t xml:space="preserve">This allows the </w:t>
      </w:r>
      <w:proofErr w:type="gramStart"/>
      <w:r w:rsidRPr="00581522">
        <w:rPr>
          <w:lang w:val="en-US"/>
        </w:rPr>
        <w:t>interrupt</w:t>
      </w:r>
      <w:proofErr w:type="gramEnd"/>
      <w:r w:rsidRPr="00581522">
        <w:rPr>
          <w:lang w:val="en-US"/>
        </w:rPr>
        <w:t xml:space="preserve"> handler to remember which ADC channel to convert next.</w:t>
      </w:r>
      <w:r>
        <w:rPr>
          <w:lang w:val="en-US"/>
        </w:rPr>
        <w:t xml:space="preserve"> </w:t>
      </w:r>
    </w:p>
    <w:p w14:paraId="00509815" w14:textId="77777777" w:rsidR="00867A31" w:rsidRDefault="00867A31" w:rsidP="00867A31">
      <w:pPr>
        <w:jc w:val="both"/>
        <w:rPr>
          <w:lang w:val="en-US"/>
        </w:rPr>
      </w:pPr>
    </w:p>
    <w:p w14:paraId="1BC53A1A" w14:textId="610CED48" w:rsidR="00867A31" w:rsidRDefault="00867A31" w:rsidP="00867A3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Report Total: _______________ / 17</w:t>
      </w:r>
    </w:p>
    <w:p w14:paraId="0A9B0074" w14:textId="50AC5447" w:rsidR="00867A31" w:rsidRDefault="00867A31" w:rsidP="00867A3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Demo Total: ________________/ 3</w:t>
      </w:r>
    </w:p>
    <w:p w14:paraId="2E875EC3" w14:textId="5EC5E2CF" w:rsidR="00867A31" w:rsidRPr="00867A31" w:rsidRDefault="00867A31" w:rsidP="00867A31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Total: ______________________ / 20</w:t>
      </w:r>
    </w:p>
    <w:sectPr w:rsidR="00867A31" w:rsidRPr="00867A3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163F8" w14:textId="77777777" w:rsidR="001C1204" w:rsidRDefault="001C1204" w:rsidP="00AB4591">
      <w:pPr>
        <w:spacing w:after="0" w:line="240" w:lineRule="auto"/>
      </w:pPr>
      <w:r>
        <w:separator/>
      </w:r>
    </w:p>
  </w:endnote>
  <w:endnote w:type="continuationSeparator" w:id="0">
    <w:p w14:paraId="6E0DEEB1" w14:textId="77777777" w:rsidR="001C1204" w:rsidRDefault="001C1204" w:rsidP="00AB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300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D2219" w14:textId="1879323D" w:rsidR="00AB4591" w:rsidRDefault="00AB4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9DAF9" w14:textId="77777777" w:rsidR="00AB4591" w:rsidRDefault="00AB4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4AFAE" w14:textId="77777777" w:rsidR="001C1204" w:rsidRDefault="001C1204" w:rsidP="00AB4591">
      <w:pPr>
        <w:spacing w:after="0" w:line="240" w:lineRule="auto"/>
      </w:pPr>
      <w:r>
        <w:separator/>
      </w:r>
    </w:p>
  </w:footnote>
  <w:footnote w:type="continuationSeparator" w:id="0">
    <w:p w14:paraId="1753C719" w14:textId="77777777" w:rsidR="001C1204" w:rsidRDefault="001C1204" w:rsidP="00AB4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40F7"/>
    <w:multiLevelType w:val="multilevel"/>
    <w:tmpl w:val="FB4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18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31"/>
    <w:rsid w:val="001C1204"/>
    <w:rsid w:val="003F7B39"/>
    <w:rsid w:val="00411009"/>
    <w:rsid w:val="00433801"/>
    <w:rsid w:val="00581522"/>
    <w:rsid w:val="006404FC"/>
    <w:rsid w:val="006738BF"/>
    <w:rsid w:val="00680FE9"/>
    <w:rsid w:val="007479A2"/>
    <w:rsid w:val="007C4AAD"/>
    <w:rsid w:val="00867A31"/>
    <w:rsid w:val="0087227D"/>
    <w:rsid w:val="00900874"/>
    <w:rsid w:val="00A012F3"/>
    <w:rsid w:val="00A162F4"/>
    <w:rsid w:val="00AB4591"/>
    <w:rsid w:val="00B115F0"/>
    <w:rsid w:val="00BC07F2"/>
    <w:rsid w:val="00D42866"/>
    <w:rsid w:val="00DD0B42"/>
    <w:rsid w:val="00F54F33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709"/>
  <w15:chartTrackingRefBased/>
  <w15:docId w15:val="{CEE18760-F764-4723-8094-DB9BA237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B39"/>
  </w:style>
  <w:style w:type="paragraph" w:styleId="Heading1">
    <w:name w:val="heading 1"/>
    <w:basedOn w:val="Normal"/>
    <w:next w:val="Normal"/>
    <w:link w:val="Heading1Char"/>
    <w:uiPriority w:val="9"/>
    <w:qFormat/>
    <w:rsid w:val="00867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A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591"/>
  </w:style>
  <w:style w:type="paragraph" w:styleId="Footer">
    <w:name w:val="footer"/>
    <w:basedOn w:val="Normal"/>
    <w:link w:val="FooterChar"/>
    <w:uiPriority w:val="99"/>
    <w:unhideWhenUsed/>
    <w:rsid w:val="00AB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591"/>
  </w:style>
  <w:style w:type="character" w:styleId="PlaceholderText">
    <w:name w:val="Placeholder Text"/>
    <w:basedOn w:val="DefaultParagraphFont"/>
    <w:uiPriority w:val="99"/>
    <w:semiHidden/>
    <w:rsid w:val="003F7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A9D329B328C4BBE0DFCEE619434D8" ma:contentTypeVersion="13" ma:contentTypeDescription="Create a new document." ma:contentTypeScope="" ma:versionID="662a10565ddf85aeb7f463f63c6c5d8e">
  <xsd:schema xmlns:xsd="http://www.w3.org/2001/XMLSchema" xmlns:xs="http://www.w3.org/2001/XMLSchema" xmlns:p="http://schemas.microsoft.com/office/2006/metadata/properties" xmlns:ns3="0dc3e94b-94e4-4e05-983e-659540d929e0" xmlns:ns4="d0dea29b-97e7-479c-b803-7fedf1230a1e" targetNamespace="http://schemas.microsoft.com/office/2006/metadata/properties" ma:root="true" ma:fieldsID="eddd63b1d16df94c08fb8fee042477eb" ns3:_="" ns4:_="">
    <xsd:import namespace="0dc3e94b-94e4-4e05-983e-659540d929e0"/>
    <xsd:import namespace="d0dea29b-97e7-479c-b803-7fedf1230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3e94b-94e4-4e05-983e-659540d92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ea29b-97e7-479c-b803-7fedf1230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A46F2-B38F-400E-9981-FD314177A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36B6C-8237-42D5-B20E-5CD641149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403EB-C278-43BF-AC5B-2EE5DC60A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3e94b-94e4-4e05-983e-659540d929e0"/>
    <ds:schemaRef ds:uri="d0dea29b-97e7-479c-b803-7fedf1230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Wong</cp:lastModifiedBy>
  <cp:revision>17</cp:revision>
  <dcterms:created xsi:type="dcterms:W3CDTF">2025-10-04T08:38:00Z</dcterms:created>
  <dcterms:modified xsi:type="dcterms:W3CDTF">2025-10-07T21:01:00Z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0x0101006F9A9D329B328C4BBE0DFCEE619434D8</vt:lpwstr>
  </property>
</Properties>
</file>