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AA08A">
      <w:pPr>
        <w:spacing w:after="160"/>
      </w:pPr>
    </w:p>
    <w:p w14:paraId="647AA676">
      <w:pPr>
        <w:spacing w:after="160"/>
      </w:pPr>
    </w:p>
    <w:p w14:paraId="7CB6D7A3">
      <w:pPr>
        <w:spacing w:after="160"/>
      </w:pPr>
    </w:p>
    <w:p w14:paraId="6BC8D8B7">
      <w:pPr>
        <w:spacing w:after="160"/>
      </w:pPr>
    </w:p>
    <w:p w14:paraId="2AE9168A">
      <w:pPr>
        <w:spacing w:after="360"/>
        <w:jc w:val="center"/>
      </w:pPr>
      <w:r>
        <w:rPr>
          <w:rFonts w:ascii="Calibri" w:hAnsi="Calibri" w:eastAsia="微软雅黑"/>
          <w:b/>
          <w:color w:val="000000"/>
          <w:sz w:val="21"/>
        </w:rPr>
        <w:t>REPRODUCTION &amp; IMPROVEMENT REPORT</w:t>
      </w:r>
    </w:p>
    <w:p w14:paraId="2D285E38">
      <w:pPr>
        <w:spacing w:after="200"/>
        <w:jc w:val="center"/>
      </w:pPr>
      <w:r>
        <w:rPr>
          <w:rFonts w:ascii="Calibri" w:hAnsi="Calibri" w:eastAsia="微软雅黑"/>
          <w:b/>
          <w:color w:val="000000"/>
          <w:sz w:val="56"/>
        </w:rPr>
        <w:t>Hattrick 复现报告</w:t>
      </w:r>
    </w:p>
    <w:p w14:paraId="6FDC5531">
      <w:pPr>
        <w:spacing w:before="2400" w:after="0"/>
        <w:jc w:val="center"/>
      </w:pPr>
      <w:r>
        <w:rPr>
          <w:rFonts w:ascii="Calibri" w:hAnsi="Calibri" w:eastAsia="微软雅黑"/>
          <w:i/>
          <w:color w:val="000000"/>
          <w:sz w:val="20"/>
        </w:rPr>
        <w:t>技术复现与实验改进记录</w:t>
      </w:r>
    </w:p>
    <w:p w14:paraId="4BA51607">
      <w:r>
        <w:rPr>
          <w:color w:val="000000"/>
        </w:rPr>
        <w:br w:type="page"/>
      </w:r>
    </w:p>
    <w:p w14:paraId="004913C2">
      <w:pPr>
        <w:pStyle w:val="3"/>
        <w:numPr>
          <w:ilvl w:val="0"/>
          <w:numId w:val="7"/>
        </w:numPr>
        <w:rPr>
          <w:rFonts w:ascii="Calibri" w:hAnsi="Calibri" w:eastAsia="微软雅黑"/>
          <w:color w:val="000000"/>
          <w:sz w:val="32"/>
        </w:rPr>
      </w:pPr>
      <w:r>
        <w:rPr>
          <w:rFonts w:hint="eastAsia" w:ascii="Calibri" w:hAnsi="Calibri" w:eastAsia="微软雅黑"/>
          <w:color w:val="000000"/>
          <w:sz w:val="32"/>
          <w:lang w:val="en-US" w:eastAsia="zh-CN"/>
        </w:rPr>
        <w:t>实验</w:t>
      </w:r>
      <w:r>
        <w:rPr>
          <w:rFonts w:ascii="Calibri" w:hAnsi="Calibri" w:eastAsia="微软雅黑"/>
          <w:color w:val="000000"/>
          <w:sz w:val="32"/>
        </w:rPr>
        <w:t>设置</w:t>
      </w:r>
    </w:p>
    <w:p w14:paraId="1F8DBB10">
      <w:pPr>
        <w:numPr>
          <w:numId w:val="0"/>
        </w:numPr>
        <w:ind w:firstLine="72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使用GEANT数据集，ESM预测器，路径数K=8，</w:t>
      </w:r>
    </w:p>
    <w:p w14:paraId="7F091C1B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数据集：GEANT</w:t>
      </w:r>
    </w:p>
    <w:p w14:paraId="0A7D6C41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预测器：ESM</w:t>
      </w:r>
    </w:p>
    <w:p w14:paraId="0C186D79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路径数：K=8</w:t>
      </w:r>
    </w:p>
    <w:p w14:paraId="212E68D3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流量类别：High、Medium、Low</w:t>
      </w:r>
    </w:p>
    <w:p w14:paraId="0FF74786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使用方法：Hattrick、BEST_MC/Flexile、SWAN</w:t>
      </w:r>
    </w:p>
    <w:p w14:paraId="797F7E6B">
      <w:pPr>
        <w:pStyle w:val="3"/>
      </w:pPr>
      <w:r>
        <w:rPr>
          <w:rFonts w:ascii="Calibri" w:hAnsi="Calibri" w:eastAsia="微软雅黑"/>
          <w:color w:val="000000"/>
          <w:sz w:val="32"/>
        </w:rPr>
        <w:t>2. 没有复现的内容</w:t>
      </w:r>
    </w:p>
    <w:p w14:paraId="050A55AD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没有对私密数据 PrivateWAN 做复现</w:t>
      </w:r>
    </w:p>
    <w:p w14:paraId="58549128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没有做 UsCarrier / KDL 的大拓扑实验，预计的训练时间太长</w:t>
      </w:r>
    </w:p>
    <w:p w14:paraId="1BB47F4E">
      <w:pPr>
        <w:pStyle w:val="3"/>
      </w:pPr>
      <w:r>
        <w:rPr>
          <w:rFonts w:ascii="Calibri" w:hAnsi="Calibri" w:eastAsia="微软雅黑"/>
          <w:color w:val="000000"/>
          <w:sz w:val="32"/>
        </w:rPr>
        <w:t>3. 实验环境</w:t>
      </w:r>
    </w:p>
    <w:p w14:paraId="222B6AA0">
      <w:pPr>
        <w:pStyle w:val="15"/>
        <w:keepNext/>
        <w:jc w:val="left"/>
      </w:pPr>
      <w:r>
        <w:rPr>
          <w:rFonts w:ascii="Calibri" w:hAnsi="Calibri" w:eastAsia="微软雅黑"/>
          <w:b/>
          <w:color w:val="000000"/>
          <w:sz w:val="19"/>
        </w:rPr>
        <w:t>表 1  实验环境</w:t>
      </w:r>
    </w:p>
    <w:tbl>
      <w:tblPr>
        <w:tblStyle w:val="32"/>
        <w:tblW w:w="9360" w:type="dxa"/>
        <w:tblInd w:w="120" w:type="dxa"/>
        <w:tblBorders>
          <w:top w:val="single" w:color="B8C5D1" w:sz="4" w:space="0"/>
          <w:left w:val="single" w:color="B8C5D1" w:sz="4" w:space="0"/>
          <w:bottom w:val="single" w:color="B8C5D1" w:sz="4" w:space="0"/>
          <w:right w:val="single" w:color="B8C5D1" w:sz="4" w:space="0"/>
          <w:insideH w:val="single" w:color="B8C5D1" w:sz="4" w:space="0"/>
          <w:insideV w:val="single" w:color="B8C5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128"/>
      </w:tblGrid>
      <w:tr w14:paraId="4AA3718A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DB1E1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w="71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5E990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配置</w:t>
            </w:r>
          </w:p>
        </w:tc>
      </w:tr>
      <w:tr w14:paraId="4B801F27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8F849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系统环境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D993B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Windows 11</w:t>
            </w:r>
          </w:p>
        </w:tc>
      </w:tr>
      <w:tr w14:paraId="38C4E405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9EA4A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Python 版本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33AE4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3.12.5</w:t>
            </w:r>
          </w:p>
        </w:tc>
      </w:tr>
      <w:tr w14:paraId="46FEC13D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39318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PyTorch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4A374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2.5.1 + CUDA 12.4</w:t>
            </w:r>
          </w:p>
        </w:tc>
      </w:tr>
      <w:tr w14:paraId="6ABF13DA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A574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NVIDIA 驱动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BD2E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610.88</w:t>
            </w:r>
          </w:p>
        </w:tc>
      </w:tr>
    </w:tbl>
    <w:p w14:paraId="427F4A4B">
      <w:pPr>
        <w:spacing w:before="0" w:after="40"/>
      </w:pPr>
    </w:p>
    <w:p w14:paraId="0D14A95A">
      <w:pPr>
        <w:pStyle w:val="3"/>
      </w:pPr>
      <w:r>
        <w:rPr>
          <w:rFonts w:ascii="Calibri" w:hAnsi="Calibri" w:eastAsia="微软雅黑"/>
          <w:color w:val="000000"/>
          <w:sz w:val="32"/>
        </w:rPr>
        <w:t>4. 数据处理</w:t>
      </w:r>
    </w:p>
    <w:p w14:paraId="5CADF8DF">
      <w:pPr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color w:val="000000"/>
          <w:sz w:val="22"/>
        </w:rPr>
        <w:t>GEANT 数据共有 10773 个时间片，</w:t>
      </w:r>
      <w:r>
        <w:rPr>
          <w:rFonts w:hint="eastAsia"/>
          <w:color w:val="000000"/>
          <w:sz w:val="22"/>
          <w:lang w:val="en-US" w:eastAsia="zh-CN"/>
        </w:rPr>
        <w:t>划分方法如下</w:t>
      </w:r>
    </w:p>
    <w:p w14:paraId="02894167">
      <w:pPr>
        <w:pStyle w:val="15"/>
        <w:keepNext/>
        <w:jc w:val="left"/>
      </w:pPr>
      <w:r>
        <w:rPr>
          <w:rFonts w:ascii="Calibri" w:hAnsi="Calibri" w:eastAsia="微软雅黑"/>
          <w:b/>
          <w:color w:val="000000"/>
          <w:sz w:val="19"/>
        </w:rPr>
        <w:t>表 2  GEANT 数据集划分</w:t>
      </w:r>
    </w:p>
    <w:tbl>
      <w:tblPr>
        <w:tblStyle w:val="32"/>
        <w:tblW w:w="9360" w:type="dxa"/>
        <w:tblInd w:w="120" w:type="dxa"/>
        <w:tblBorders>
          <w:top w:val="single" w:color="B8C5D1" w:sz="4" w:space="0"/>
          <w:left w:val="single" w:color="B8C5D1" w:sz="4" w:space="0"/>
          <w:bottom w:val="single" w:color="B8C5D1" w:sz="4" w:space="0"/>
          <w:right w:val="single" w:color="B8C5D1" w:sz="4" w:space="0"/>
          <w:insideH w:val="single" w:color="B8C5D1" w:sz="4" w:space="0"/>
          <w:insideV w:val="single" w:color="B8C5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528"/>
        <w:gridCol w:w="2736"/>
      </w:tblGrid>
      <w:tr w14:paraId="4BCF95C7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96879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数据部分</w:t>
            </w:r>
          </w:p>
        </w:tc>
        <w:tc>
          <w:tcPr>
            <w:tcW w:w="35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84EBD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时间片范围</w:t>
            </w:r>
          </w:p>
        </w:tc>
        <w:tc>
          <w:tcPr>
            <w:tcW w:w="273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918AE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数量</w:t>
            </w:r>
          </w:p>
        </w:tc>
      </w:tr>
      <w:tr w14:paraId="4107AA8A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CDDB9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训练集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77ECF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0-6463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1AFAE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6464</w:t>
            </w:r>
          </w:p>
        </w:tc>
      </w:tr>
      <w:tr w14:paraId="27EA01B7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15DF7">
            <w:pPr>
              <w:keepNext/>
              <w:spacing w:before="0" w:after="0" w:line="264" w:lineRule="auto"/>
              <w:jc w:val="left"/>
            </w:pPr>
            <w:r>
              <w:rPr>
                <w:rFonts w:hint="eastAsia"/>
                <w:color w:val="000000"/>
                <w:sz w:val="18"/>
                <w:lang w:val="en-US" w:eastAsia="zh-CN"/>
              </w:rPr>
              <w:t>开发</w:t>
            </w:r>
            <w:r>
              <w:rPr>
                <w:rFonts w:ascii="Calibri" w:hAnsi="Calibri" w:eastAsia="微软雅黑"/>
                <w:color w:val="000000"/>
                <w:sz w:val="18"/>
              </w:rPr>
              <w:t>集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AC5C1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6464-8079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0DA5A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1616</w:t>
            </w:r>
          </w:p>
        </w:tc>
      </w:tr>
      <w:tr w14:paraId="184F454F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E9E2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测试集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1BBC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8080-10772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424A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2693</w:t>
            </w:r>
          </w:p>
        </w:tc>
      </w:tr>
    </w:tbl>
    <w:p w14:paraId="6E1DA9A7">
      <w:pPr>
        <w:pStyle w:val="3"/>
      </w:pPr>
      <w:r>
        <w:rPr>
          <w:rFonts w:ascii="Calibri" w:hAnsi="Calibri" w:eastAsia="微软雅黑"/>
          <w:color w:val="000000"/>
          <w:sz w:val="32"/>
        </w:rPr>
        <w:t>5. 复现流程</w:t>
      </w:r>
    </w:p>
    <w:p w14:paraId="31076BED">
      <w:pPr>
        <w:pStyle w:val="4"/>
      </w:pPr>
      <w:r>
        <w:rPr>
          <w:rFonts w:ascii="Calibri" w:hAnsi="Calibri" w:eastAsia="微软雅黑"/>
          <w:color w:val="000000"/>
          <w:sz w:val="26"/>
        </w:rPr>
        <w:t>5.1 用 Gurobi 计算基线</w:t>
      </w:r>
    </w:p>
    <w:p w14:paraId="3E766577">
      <w:r>
        <w:rPr>
          <w:rFonts w:ascii="Calibri" w:hAnsi="Calibri" w:eastAsia="微软雅黑"/>
          <w:color w:val="000000"/>
          <w:sz w:val="22"/>
        </w:rPr>
        <w:t>生成以下的结果</w:t>
      </w:r>
    </w:p>
    <w:p w14:paraId="5D34813A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ground-truth MaxFlow</w:t>
      </w:r>
    </w:p>
    <w:p w14:paraId="34AF12FE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ground-truth MLU</w:t>
      </w:r>
    </w:p>
    <w:p w14:paraId="40FB6E5F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BEST_MC/Flexile 预测</w:t>
      </w:r>
    </w:p>
    <w:p w14:paraId="7E2BB2DD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SWAN 预测</w:t>
      </w:r>
    </w:p>
    <w:p w14:paraId="39ABF3B8">
      <w:pPr>
        <w:pStyle w:val="4"/>
        <w:pageBreakBefore/>
      </w:pPr>
      <w:r>
        <w:rPr>
          <w:rFonts w:ascii="Calibri" w:hAnsi="Calibri" w:eastAsia="微软雅黑"/>
          <w:color w:val="000000"/>
          <w:sz w:val="26"/>
        </w:rPr>
        <w:t>5.2 Hattrick 训练</w:t>
      </w:r>
    </w:p>
    <w:p w14:paraId="467F9145">
      <w:r>
        <w:rPr>
          <w:rFonts w:ascii="Calibri" w:hAnsi="Calibri" w:eastAsia="微软雅黑"/>
          <w:color w:val="000000"/>
          <w:sz w:val="22"/>
        </w:rPr>
        <w:t>使用 README 中的参数训练：</w:t>
      </w:r>
    </w:p>
    <w:p w14:paraId="19154E1F">
      <w:pPr>
        <w:pStyle w:val="15"/>
        <w:keepNext/>
        <w:jc w:val="left"/>
      </w:pPr>
      <w:r>
        <w:rPr>
          <w:rFonts w:ascii="Calibri" w:hAnsi="Calibri" w:eastAsia="微软雅黑"/>
          <w:b/>
          <w:color w:val="000000"/>
          <w:sz w:val="19"/>
        </w:rPr>
        <w:t>表 3  Hattrick 训练参数</w:t>
      </w:r>
    </w:p>
    <w:tbl>
      <w:tblPr>
        <w:tblStyle w:val="32"/>
        <w:tblW w:w="9360" w:type="dxa"/>
        <w:tblInd w:w="120" w:type="dxa"/>
        <w:tblBorders>
          <w:top w:val="single" w:color="B8C5D1" w:sz="4" w:space="0"/>
          <w:left w:val="single" w:color="B8C5D1" w:sz="4" w:space="0"/>
          <w:bottom w:val="single" w:color="B8C5D1" w:sz="4" w:space="0"/>
          <w:right w:val="single" w:color="B8C5D1" w:sz="4" w:space="0"/>
          <w:insideH w:val="single" w:color="B8C5D1" w:sz="4" w:space="0"/>
          <w:insideV w:val="single" w:color="B8C5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896"/>
      </w:tblGrid>
      <w:tr w14:paraId="0D571DF9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6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C430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参数</w:t>
            </w:r>
          </w:p>
        </w:tc>
        <w:tc>
          <w:tcPr>
            <w:tcW w:w="48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8CD0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值</w:t>
            </w:r>
          </w:p>
        </w:tc>
      </w:tr>
      <w:tr w14:paraId="17FDB892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66EDF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topo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3CEA4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geant</w:t>
            </w:r>
          </w:p>
        </w:tc>
      </w:tr>
      <w:tr w14:paraId="754FDC27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5861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num_paths_per_pair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7769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8</w:t>
            </w:r>
          </w:p>
        </w:tc>
      </w:tr>
      <w:tr w14:paraId="305164F8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34FBB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epochs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407E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60</w:t>
            </w:r>
          </w:p>
        </w:tc>
      </w:tr>
      <w:tr w14:paraId="4AC6A83B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75B25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batch_size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7665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64</w:t>
            </w:r>
          </w:p>
        </w:tc>
      </w:tr>
      <w:tr w14:paraId="6B31F051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80B79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lr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DBD5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0.0005</w:t>
            </w:r>
          </w:p>
        </w:tc>
      </w:tr>
      <w:tr w14:paraId="25A59061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5BB85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num_transformer_layers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BF45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3</w:t>
            </w:r>
          </w:p>
        </w:tc>
      </w:tr>
      <w:tr w14:paraId="6C12EF1C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AA688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num_gnn_layers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805B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3</w:t>
            </w:r>
          </w:p>
        </w:tc>
      </w:tr>
      <w:tr w14:paraId="3B26D9F4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34D87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rau1/rau2/rau3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62C4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3/3/3</w:t>
            </w:r>
          </w:p>
        </w:tc>
      </w:tr>
      <w:tr w14:paraId="7AE7BF3C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47203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pred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6341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1</w:t>
            </w:r>
          </w:p>
        </w:tc>
      </w:tr>
      <w:tr w14:paraId="56038CA4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2CE81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pred_type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28CC8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esm</w:t>
            </w:r>
          </w:p>
        </w:tc>
      </w:tr>
      <w:tr w14:paraId="04C00C62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21987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dynamic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D869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0</w:t>
            </w:r>
          </w:p>
        </w:tc>
      </w:tr>
      <w:tr w14:paraId="27BB994D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DACFC">
            <w:pPr>
              <w:spacing w:before="0" w:after="0" w:line="264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7"/>
              </w:rPr>
              <w:t>violation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AAA9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1</w:t>
            </w:r>
          </w:p>
        </w:tc>
      </w:tr>
    </w:tbl>
    <w:p w14:paraId="61959401">
      <w:pPr>
        <w:spacing w:before="0" w:after="40"/>
      </w:pPr>
    </w:p>
    <w:p w14:paraId="72AF426E">
      <w:pPr>
        <w:sectPr>
          <w:pgSz w:w="12240" w:h="15840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7868CF78">
      <w:pPr>
        <w:pStyle w:val="3"/>
      </w:pPr>
      <w:r>
        <w:rPr>
          <w:rFonts w:ascii="Calibri" w:hAnsi="Calibri" w:eastAsia="微软雅黑"/>
          <w:color w:val="000000"/>
          <w:sz w:val="32"/>
        </w:rPr>
        <w:t>6. 复现结果</w:t>
      </w:r>
    </w:p>
    <w:p w14:paraId="4DD41E29">
      <w:pPr>
        <w:pStyle w:val="15"/>
        <w:keepNext/>
        <w:jc w:val="left"/>
      </w:pPr>
      <w:r>
        <w:rPr>
          <w:rFonts w:ascii="Calibri" w:hAnsi="Calibri" w:eastAsia="微软雅黑"/>
          <w:b/>
          <w:color w:val="000000"/>
          <w:sz w:val="19"/>
        </w:rPr>
        <w:t>表 4  复现结果与论文对比</w:t>
      </w:r>
    </w:p>
    <w:tbl>
      <w:tblPr>
        <w:tblStyle w:val="32"/>
        <w:tblW w:w="14256" w:type="dxa"/>
        <w:tblInd w:w="120" w:type="dxa"/>
        <w:tblBorders>
          <w:top w:val="single" w:color="B8C5D1" w:sz="4" w:space="0"/>
          <w:left w:val="single" w:color="B8C5D1" w:sz="4" w:space="0"/>
          <w:bottom w:val="single" w:color="B8C5D1" w:sz="4" w:space="0"/>
          <w:right w:val="single" w:color="B8C5D1" w:sz="4" w:space="0"/>
          <w:insideH w:val="single" w:color="B8C5D1" w:sz="4" w:space="0"/>
          <w:insideV w:val="single" w:color="B8C5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1311"/>
        <w:gridCol w:w="1456"/>
        <w:gridCol w:w="1456"/>
        <w:gridCol w:w="1194"/>
        <w:gridCol w:w="1529"/>
        <w:gridCol w:w="1383"/>
        <w:gridCol w:w="1194"/>
        <w:gridCol w:w="1529"/>
        <w:gridCol w:w="1384"/>
      </w:tblGrid>
      <w:tr w14:paraId="09410B86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</w:tblPrEx>
        <w:trPr>
          <w:tblHeader/>
        </w:trPr>
        <w:tc>
          <w:tcPr>
            <w:tcW w:w="182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14E1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方法</w:t>
            </w:r>
          </w:p>
        </w:tc>
        <w:tc>
          <w:tcPr>
            <w:tcW w:w="1311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A3C8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类别</w:t>
            </w:r>
          </w:p>
        </w:tc>
        <w:tc>
          <w:tcPr>
            <w:tcW w:w="145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74F3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Mean</w:t>
            </w:r>
          </w:p>
        </w:tc>
        <w:tc>
          <w:tcPr>
            <w:tcW w:w="145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F6FC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Median</w:t>
            </w:r>
          </w:p>
        </w:tc>
        <w:tc>
          <w:tcPr>
            <w:tcW w:w="119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3999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P10</w:t>
            </w:r>
          </w:p>
        </w:tc>
        <w:tc>
          <w:tcPr>
            <w:tcW w:w="152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D78B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论文 P10</w:t>
            </w:r>
          </w:p>
        </w:tc>
        <w:tc>
          <w:tcPr>
            <w:tcW w:w="1383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F2C8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P10 差值</w:t>
            </w:r>
          </w:p>
        </w:tc>
        <w:tc>
          <w:tcPr>
            <w:tcW w:w="119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E3A9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P1</w:t>
            </w:r>
          </w:p>
        </w:tc>
        <w:tc>
          <w:tcPr>
            <w:tcW w:w="152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2990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论文 P1</w:t>
            </w:r>
          </w:p>
        </w:tc>
        <w:tc>
          <w:tcPr>
            <w:tcW w:w="138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CC9E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P1 差值</w:t>
            </w:r>
          </w:p>
        </w:tc>
      </w:tr>
      <w:tr w14:paraId="06C9BBCD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F87E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Hattrick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BD7B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High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4637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1.000000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97F0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1.000000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EFF7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1.000000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1F48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1.000000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E9DB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-0.000000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941B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1.000000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F83D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0.996300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95C3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+0.003700</w:t>
            </w:r>
          </w:p>
        </w:tc>
      </w:tr>
      <w:tr w14:paraId="79B38AAC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12BD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Hattrick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233D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Medium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D878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0.999233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DB4D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1.000000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E8F7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0.997324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B324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1.000000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1708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-0.002676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E0C0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0.986409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AFEC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0.992100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4BAC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-0.005691</w:t>
            </w:r>
          </w:p>
        </w:tc>
      </w:tr>
      <w:tr w14:paraId="5E2DE91E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C65A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Hattrick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6AC8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Low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94F1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1.006312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5FFA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1.005052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CCC2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0.996565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A243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0.998600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522E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-0.002035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8034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0.974056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6939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0.982400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7C2E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-0.008344</w:t>
            </w:r>
          </w:p>
        </w:tc>
      </w:tr>
      <w:tr w14:paraId="2F8C5B74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A42A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BEST_MC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9778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High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E6CD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0.999739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E166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0.999999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96F4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0.999073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397C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0.991500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D73E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+0.007573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9440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0.996925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29F7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0.971000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C22D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+0.025925</w:t>
            </w:r>
          </w:p>
        </w:tc>
      </w:tr>
      <w:tr w14:paraId="70D4CA02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2F96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BEST_MC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0CDA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Medium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7570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0.994930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3855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0.998599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5DF4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0.984834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C723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0.965200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C8C6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+0.019634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51C2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0.962555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4FCD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0.918600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9557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+0.043955</w:t>
            </w:r>
          </w:p>
        </w:tc>
      </w:tr>
      <w:tr w14:paraId="6238A584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83EF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BEST_MC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0CC5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Low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9581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0.952297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61EE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0.968019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DBD3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0.884473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C418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0.955200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D8F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-0.070727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D66C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0.722775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AFFC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0.892400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C351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-0.169625</w:t>
            </w:r>
          </w:p>
        </w:tc>
      </w:tr>
      <w:tr w14:paraId="5491E333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9A34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SWAN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986F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High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18C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0.994322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59A7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0.997154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8041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0.985143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9F78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0.971300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4590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+0.013843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481A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0.964708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325A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0.944500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6463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+0.020208</w:t>
            </w:r>
          </w:p>
        </w:tc>
      </w:tr>
      <w:tr w14:paraId="015BE120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FA46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SWAN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83BF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Medium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2412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0.939935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E984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0.961620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B899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0.859630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D178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0.919400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0935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-0.059770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2ADC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0.736935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3BBB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0.832000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B681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-0.095065</w:t>
            </w:r>
          </w:p>
        </w:tc>
      </w:tr>
      <w:tr w14:paraId="4E4BF106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0B18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6"/>
              </w:rPr>
              <w:t>SWAN</w:t>
            </w:r>
          </w:p>
        </w:tc>
        <w:tc>
          <w:tcPr>
            <w:tcW w:w="13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F4A0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Low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1F67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0.844129</w:t>
            </w:r>
          </w:p>
        </w:tc>
        <w:tc>
          <w:tcPr>
            <w:tcW w:w="1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7DAB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0.848777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F16E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0.708226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9A15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0.926400</w:t>
            </w:r>
          </w:p>
        </w:tc>
        <w:tc>
          <w:tcPr>
            <w:tcW w:w="13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446E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-0.218174</w:t>
            </w:r>
          </w:p>
        </w:tc>
        <w:tc>
          <w:tcPr>
            <w:tcW w:w="11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40D7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0.598216</w:t>
            </w:r>
          </w:p>
        </w:tc>
        <w:tc>
          <w:tcPr>
            <w:tcW w:w="15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92BB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0.822900</w:t>
            </w:r>
          </w:p>
        </w:tc>
        <w:tc>
          <w:tcPr>
            <w:tcW w:w="13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D4F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6"/>
              </w:rPr>
              <w:t>-0.224684</w:t>
            </w:r>
          </w:p>
        </w:tc>
      </w:tr>
    </w:tbl>
    <w:p w14:paraId="27EC7F29">
      <w:pPr>
        <w:spacing w:before="0" w:after="40"/>
      </w:pPr>
    </w:p>
    <w:p w14:paraId="4C60B5E2">
      <w:r>
        <w:rPr>
          <w:rFonts w:ascii="Calibri" w:hAnsi="Calibri" w:eastAsia="微软雅黑"/>
          <w:color w:val="000000"/>
          <w:sz w:val="22"/>
        </w:rPr>
        <w:t>表格中大于 1 的值表示牺牲了更高优先级流量，使较低优先级类别获得了额外容量</w:t>
      </w:r>
    </w:p>
    <w:p w14:paraId="6C6355A1">
      <w:r>
        <w:rPr>
          <w:rFonts w:ascii="Calibri" w:hAnsi="Calibri" w:eastAsia="微软雅黑"/>
          <w:color w:val="000000"/>
          <w:sz w:val="22"/>
        </w:rPr>
        <w:t>Hattrick 与论文接近，BEST_MC 和 SWAN 的差异相对较大。可能是因为实验中不同优先级流量的比例在某个范围内随机生成，本次实验中 high 比例偏小，更容易满足。BEST_MC 和 SWAN 作为确定性的算法，对这样差别的更敏感，而 Hattrick 通过训练，结果更稳定。</w:t>
      </w:r>
    </w:p>
    <w:p w14:paraId="296055BF">
      <w:pPr>
        <w:sectPr>
          <w:pgSz w:w="15840" w:h="12240" w:orient="landscape"/>
          <w:pgMar w:top="936" w:right="792" w:bottom="936" w:left="792" w:header="504" w:footer="504" w:gutter="0"/>
          <w:cols w:space="720" w:num="1"/>
          <w:docGrid w:linePitch="360" w:charSpace="0"/>
        </w:sectPr>
      </w:pPr>
    </w:p>
    <w:p w14:paraId="0AACB352">
      <w:pPr>
        <w:pStyle w:val="3"/>
      </w:pPr>
      <w:r>
        <w:rPr>
          <w:rFonts w:ascii="Calibri" w:hAnsi="Calibri" w:eastAsia="微软雅黑"/>
          <w:color w:val="000000"/>
          <w:sz w:val="32"/>
        </w:rPr>
        <w:t>7. 图表结果</w:t>
      </w:r>
    </w:p>
    <w:p w14:paraId="0AD69621">
      <w:pPr>
        <w:pStyle w:val="4"/>
      </w:pPr>
      <w:r>
        <w:rPr>
          <w:rFonts w:ascii="Calibri" w:hAnsi="Calibri" w:eastAsia="微软雅黑"/>
          <w:color w:val="000000"/>
          <w:sz w:val="26"/>
        </w:rPr>
        <w:t>7.1 NormFulFill CDF</w:t>
      </w:r>
    </w:p>
    <w:p w14:paraId="09C88025">
      <w:pPr>
        <w:keepNext/>
        <w:spacing w:before="100" w:after="40"/>
        <w:jc w:val="center"/>
      </w:pPr>
      <w:r>
        <w:rPr>
          <w:color w:val="000000"/>
        </w:rPr>
        <w:drawing>
          <wp:inline distT="0" distB="0" distL="114300" distR="114300">
            <wp:extent cx="5760720" cy="3316605"/>
            <wp:effectExtent l="0" t="0" r="11430" b="17145"/>
            <wp:docPr id="1" name="Picture 1" descr="alt text" title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lt text" title="alt tex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7E11">
      <w:pPr>
        <w:pStyle w:val="15"/>
        <w:jc w:val="center"/>
      </w:pPr>
      <w:r>
        <w:rPr>
          <w:rFonts w:ascii="Calibri" w:hAnsi="Calibri" w:eastAsia="微软雅黑"/>
          <w:color w:val="000000"/>
          <w:sz w:val="19"/>
        </w:rPr>
        <w:t>图 1  复现实验中的 NormFulFill CDF</w:t>
      </w:r>
    </w:p>
    <w:p w14:paraId="26ECB63F">
      <w:r>
        <w:rPr>
          <w:rFonts w:ascii="Calibri" w:hAnsi="Calibri" w:eastAsia="微软雅黑"/>
          <w:color w:val="000000"/>
          <w:sz w:val="22"/>
        </w:rPr>
        <w:t>论文中的图像</w:t>
      </w:r>
    </w:p>
    <w:p w14:paraId="7EB42EF3">
      <w:pPr>
        <w:keepNext/>
        <w:spacing w:before="100" w:after="40"/>
        <w:jc w:val="center"/>
      </w:pPr>
      <w:r>
        <w:rPr>
          <w:color w:val="000000"/>
        </w:rPr>
        <w:drawing>
          <wp:inline distT="0" distB="0" distL="114300" distR="114300">
            <wp:extent cx="5760720" cy="1702435"/>
            <wp:effectExtent l="0" t="0" r="11430" b="12065"/>
            <wp:docPr id="2" name="Picture 2" descr="alt text" title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lt text" title="alt tex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408B">
      <w:pPr>
        <w:pStyle w:val="15"/>
        <w:jc w:val="center"/>
      </w:pPr>
      <w:r>
        <w:rPr>
          <w:rFonts w:ascii="Calibri" w:hAnsi="Calibri" w:eastAsia="微软雅黑"/>
          <w:color w:val="000000"/>
          <w:sz w:val="19"/>
        </w:rPr>
        <w:t>图 2  原论文中的 NormFulFill CDF</w:t>
      </w:r>
    </w:p>
    <w:p w14:paraId="39546140">
      <w:r>
        <w:rPr>
          <w:rFonts w:ascii="Calibri" w:hAnsi="Calibri" w:eastAsia="微软雅黑"/>
          <w:color w:val="000000"/>
          <w:sz w:val="22"/>
        </w:rPr>
        <w:t>图像的趋势一致，BEST_MC 和 SWAN 在 high 中偏右，low 和 medium 中偏左， 可能是因为 high 的比例偏小</w:t>
      </w:r>
    </w:p>
    <w:p w14:paraId="3A577B45">
      <w:pPr>
        <w:pStyle w:val="4"/>
      </w:pPr>
      <w:r>
        <w:rPr>
          <w:rFonts w:ascii="Calibri" w:hAnsi="Calibri" w:eastAsia="微软雅黑"/>
          <w:color w:val="000000"/>
          <w:sz w:val="26"/>
        </w:rPr>
        <w:t>7.2 NormFulFill 箱线图</w:t>
      </w:r>
    </w:p>
    <w:p w14:paraId="1370D1F7">
      <w:pPr>
        <w:keepNext/>
        <w:spacing w:before="100" w:after="40"/>
        <w:jc w:val="center"/>
      </w:pPr>
      <w:r>
        <w:rPr>
          <w:color w:val="000000"/>
        </w:rPr>
        <w:drawing>
          <wp:inline distT="0" distB="0" distL="114300" distR="114300">
            <wp:extent cx="5760720" cy="3530600"/>
            <wp:effectExtent l="0" t="0" r="11430" b="12700"/>
            <wp:docPr id="3" name="Picture 3" descr="alt text" title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lt text" title="alt tex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37EB">
      <w:pPr>
        <w:pStyle w:val="15"/>
        <w:jc w:val="center"/>
      </w:pPr>
      <w:r>
        <w:rPr>
          <w:rFonts w:ascii="Calibri" w:hAnsi="Calibri" w:eastAsia="微软雅黑"/>
          <w:color w:val="000000"/>
          <w:sz w:val="19"/>
        </w:rPr>
        <w:t>图 3  NormFulFill 箱线图</w:t>
      </w:r>
    </w:p>
    <w:p w14:paraId="1EFE9A0D">
      <w:r>
        <w:rPr>
          <w:rFonts w:ascii="Calibri" w:hAnsi="Calibri" w:eastAsia="微软雅黑"/>
          <w:color w:val="000000"/>
          <w:sz w:val="22"/>
        </w:rPr>
        <w:t>箱线图显示：</w:t>
      </w:r>
    </w:p>
    <w:p w14:paraId="1652481B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Hattrick 在 High、Medium 两类上非常稳定</w:t>
      </w:r>
    </w:p>
    <w:p w14:paraId="28EB610E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Hattrick 在 Low 类别仍保持较高分布，但有少量低值</w:t>
      </w:r>
    </w:p>
    <w:p w14:paraId="7E7D86E7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BEST_MC 和 SWAN 在 Low 类别波动更大</w:t>
      </w:r>
    </w:p>
    <w:p w14:paraId="100FDC0A">
      <w:pPr>
        <w:pStyle w:val="3"/>
      </w:pPr>
      <w:r>
        <w:rPr>
          <w:rFonts w:ascii="Calibri" w:hAnsi="Calibri" w:eastAsia="微软雅黑"/>
          <w:color w:val="000000"/>
          <w:sz w:val="32"/>
        </w:rPr>
        <w:t>8. 结果对比</w:t>
      </w:r>
    </w:p>
    <w:p w14:paraId="1E2612FC">
      <w:pPr>
        <w:pStyle w:val="15"/>
        <w:keepNext/>
        <w:jc w:val="left"/>
      </w:pPr>
      <w:r>
        <w:rPr>
          <w:rFonts w:ascii="Calibri" w:hAnsi="Calibri" w:eastAsia="微软雅黑"/>
          <w:b/>
          <w:color w:val="000000"/>
          <w:sz w:val="19"/>
        </w:rPr>
        <w:t>表 5  Hattrick 复现差异</w:t>
      </w:r>
    </w:p>
    <w:tbl>
      <w:tblPr>
        <w:tblStyle w:val="32"/>
        <w:tblW w:w="9360" w:type="dxa"/>
        <w:tblInd w:w="120" w:type="dxa"/>
        <w:tblBorders>
          <w:top w:val="single" w:color="B8C5D1" w:sz="4" w:space="0"/>
          <w:left w:val="single" w:color="B8C5D1" w:sz="4" w:space="0"/>
          <w:bottom w:val="single" w:color="B8C5D1" w:sz="4" w:space="0"/>
          <w:right w:val="single" w:color="B8C5D1" w:sz="4" w:space="0"/>
          <w:insideH w:val="single" w:color="B8C5D1" w:sz="4" w:space="0"/>
          <w:insideV w:val="single" w:color="B8C5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088"/>
        <w:gridCol w:w="2088"/>
        <w:gridCol w:w="3240"/>
      </w:tblGrid>
      <w:tr w14:paraId="158CB452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5B8DE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类别</w:t>
            </w:r>
          </w:p>
        </w:tc>
        <w:tc>
          <w:tcPr>
            <w:tcW w:w="208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50979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P10 差值</w:t>
            </w:r>
          </w:p>
        </w:tc>
        <w:tc>
          <w:tcPr>
            <w:tcW w:w="208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C8026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P1 差值</w:t>
            </w:r>
          </w:p>
        </w:tc>
        <w:tc>
          <w:tcPr>
            <w:tcW w:w="32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227B6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评价</w:t>
            </w:r>
          </w:p>
        </w:tc>
      </w:tr>
      <w:tr w14:paraId="05FDA04A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B51FB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High</w:t>
            </w:r>
          </w:p>
        </w:tc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E1D2F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-0.000000</w:t>
            </w:r>
          </w:p>
        </w:tc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FBCBD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+0.003700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53457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基本一致</w:t>
            </w:r>
          </w:p>
        </w:tc>
      </w:tr>
      <w:tr w14:paraId="0547DA2E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E7F1F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Medium</w:t>
            </w:r>
          </w:p>
        </w:tc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9D2D6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-0.002676</w:t>
            </w:r>
          </w:p>
        </w:tc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15ABE"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-0.005691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F6227"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非常接近</w:t>
            </w:r>
          </w:p>
        </w:tc>
      </w:tr>
      <w:tr w14:paraId="30F409EA">
        <w:tblPrEx>
          <w:tblBorders>
            <w:top w:val="single" w:color="B8C5D1" w:sz="4" w:space="0"/>
            <w:left w:val="single" w:color="B8C5D1" w:sz="4" w:space="0"/>
            <w:bottom w:val="single" w:color="B8C5D1" w:sz="4" w:space="0"/>
            <w:right w:val="single" w:color="B8C5D1" w:sz="4" w:space="0"/>
            <w:insideH w:val="single" w:color="B8C5D1" w:sz="4" w:space="0"/>
            <w:insideV w:val="single" w:color="B8C5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1F10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Low</w:t>
            </w:r>
          </w:p>
        </w:tc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E846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-0.002035</w:t>
            </w:r>
          </w:p>
        </w:tc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526F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color w:val="000000"/>
                <w:sz w:val="18"/>
              </w:rPr>
              <w:t>-0.008344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273E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color w:val="000000"/>
                <w:sz w:val="18"/>
              </w:rPr>
              <w:t>非常接近</w:t>
            </w:r>
          </w:p>
        </w:tc>
      </w:tr>
    </w:tbl>
    <w:p w14:paraId="7B319644">
      <w:pPr>
        <w:spacing w:before="0" w:after="40"/>
      </w:pPr>
    </w:p>
    <w:p w14:paraId="58300A33">
      <w:pPr>
        <w:pStyle w:val="3"/>
      </w:pPr>
      <w:r>
        <w:rPr>
          <w:rFonts w:ascii="Calibri" w:hAnsi="Calibri" w:eastAsia="微软雅黑"/>
          <w:color w:val="000000"/>
          <w:sz w:val="32"/>
        </w:rPr>
        <w:t>9. 可能差异原因</w:t>
      </w:r>
    </w:p>
    <w:p w14:paraId="0B3DA7DC">
      <w:pPr>
        <w:numPr>
          <w:ilvl w:val="0"/>
          <w:numId w:val="9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流量占比不同，当 high 占比低时，它的 NormFulFill 会更高，medium 和 low 的 NormFulFill 会更低。在基线算法上会很明显，而 Hattrick 在比例发生变化时更加稳定</w:t>
      </w:r>
    </w:p>
    <w:p w14:paraId="7A6F9EA3">
      <w:pPr>
        <w:pStyle w:val="164"/>
        <w:keepLines/>
        <w:pBdr>
          <w:top w:val="single" w:color="B8C5D1" w:sz="4" w:space="4"/>
          <w:left w:val="single" w:color="B8C5D1" w:sz="4" w:space="4"/>
          <w:bottom w:val="single" w:color="B8C5D1" w:sz="4" w:space="4"/>
          <w:right w:val="single" w:color="B8C5D1" w:sz="4" w:space="4"/>
        </w:pBdr>
        <w:shd w:val="clear" w:fill="F5F7FA"/>
      </w:pPr>
      <w:r>
        <w:rPr>
          <w:rFonts w:ascii="Consolas" w:hAnsi="Consolas" w:eastAsia="微软雅黑"/>
          <w:color w:val="000000"/>
          <w:sz w:val="18"/>
        </w:rPr>
        <w:t xml:space="preserve">    high = rng.uniform(0.45, 0.50, size=matrix.shape)</w:t>
      </w:r>
      <w:r>
        <w:rPr>
          <w:rFonts w:ascii="Consolas" w:hAnsi="Consolas" w:eastAsia="微软雅黑"/>
          <w:color w:val="000000"/>
          <w:sz w:val="18"/>
        </w:rPr>
        <w:br w:type="textWrapping"/>
      </w:r>
      <w:r>
        <w:rPr>
          <w:rFonts w:ascii="Consolas" w:hAnsi="Consolas" w:eastAsia="微软雅黑"/>
          <w:color w:val="000000"/>
          <w:sz w:val="18"/>
        </w:rPr>
        <w:t xml:space="preserve">    mid = rng.uniform(0.40, 0.45, size=matrix.shape)</w:t>
      </w:r>
      <w:r>
        <w:rPr>
          <w:rFonts w:ascii="Consolas" w:hAnsi="Consolas" w:eastAsia="微软雅黑"/>
          <w:color w:val="000000"/>
          <w:sz w:val="18"/>
        </w:rPr>
        <w:br w:type="textWrapping"/>
      </w:r>
      <w:r>
        <w:rPr>
          <w:rFonts w:ascii="Consolas" w:hAnsi="Consolas" w:eastAsia="微软雅黑"/>
          <w:color w:val="000000"/>
          <w:sz w:val="18"/>
        </w:rPr>
        <w:t xml:space="preserve">    low = 1.0 - high - mid</w:t>
      </w:r>
    </w:p>
    <w:p w14:paraId="5A3B864A">
      <w:pPr>
        <w:numPr>
          <w:ilvl w:val="0"/>
          <w:numId w:val="9"/>
        </w:numPr>
        <w:spacing w:after="80" w:line="300" w:lineRule="auto"/>
      </w:pPr>
      <w:r>
        <w:rPr>
          <w:rFonts w:ascii="Calibri" w:hAnsi="Calibri" w:eastAsia="微软雅黑"/>
          <w:color w:val="000000"/>
          <w:sz w:val="22"/>
        </w:rPr>
        <w:t>随机种子，神经网络的随机性等</w:t>
      </w:r>
    </w:p>
    <w:p w14:paraId="238D969C">
      <w:pPr>
        <w:pStyle w:val="3"/>
        <w:pageBreakBefore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color w:val="000000"/>
          <w:sz w:val="32"/>
        </w:rPr>
        <w:t>10. 改进</w:t>
      </w:r>
      <w:r>
        <w:rPr>
          <w:rFonts w:hint="eastAsia" w:ascii="Calibri" w:hAnsi="Calibri" w:eastAsia="微软雅黑"/>
          <w:color w:val="000000"/>
          <w:sz w:val="32"/>
          <w:lang w:val="en-US" w:eastAsia="zh-CN"/>
        </w:rPr>
        <w:t xml:space="preserve">  Hattrick-f3</w:t>
      </w:r>
    </w:p>
    <w:p w14:paraId="21CC90FC">
      <w:pPr>
        <w:pStyle w:val="4"/>
        <w:rPr>
          <w:rFonts w:hint="default" w:ascii="Calibri" w:hAnsi="Calibri" w:eastAsia="微软雅黑"/>
          <w:color w:val="000000"/>
          <w:sz w:val="26"/>
          <w:lang w:val="en-US" w:eastAsia="zh-CN"/>
        </w:rPr>
      </w:pPr>
      <w:r>
        <w:rPr>
          <w:rFonts w:hint="eastAsia" w:ascii="Calibri" w:hAnsi="Calibri" w:eastAsia="微软雅黑"/>
          <w:color w:val="000000"/>
          <w:sz w:val="26"/>
          <w:lang w:val="en-US" w:eastAsia="zh-CN"/>
        </w:rPr>
        <w:t>1. 改进方向</w:t>
      </w:r>
    </w:p>
    <w:p w14:paraId="510E9E4F">
      <w:pPr>
        <w:numPr>
          <w:numId w:val="0"/>
        </w:numPr>
        <w:spacing w:after="80" w:line="300" w:lineRule="auto"/>
        <w:rPr>
          <w:rFonts w:hint="default" w:eastAsia="微软雅黑"/>
          <w:lang w:val="en-US" w:eastAsia="zh-CN"/>
        </w:rPr>
      </w:pPr>
      <w:r>
        <w:rPr>
          <w:rFonts w:hint="eastAsia"/>
          <w:color w:val="000000"/>
          <w:sz w:val="22"/>
          <w:lang w:val="en-US" w:eastAsia="zh-CN"/>
        </w:rPr>
        <w:t>改进方向是优化Hattrick在较高负载情况下的表现，在High性能不下降，Low性能不明显下降的前提下，尽可能提高medium的mean，p1和p10</w:t>
      </w:r>
    </w:p>
    <w:p w14:paraId="198E6D2A">
      <w:pPr>
        <w:pStyle w:val="4"/>
        <w:numPr>
          <w:numId w:val="0"/>
        </w:numPr>
      </w:pPr>
      <w:r>
        <w:rPr>
          <w:rFonts w:hint="eastAsia" w:ascii="Calibri" w:hAnsi="Calibri" w:eastAsia="微软雅黑"/>
          <w:color w:val="000000"/>
          <w:sz w:val="26"/>
          <w:lang w:val="en-US" w:eastAsia="zh-CN"/>
        </w:rPr>
        <w:t>2数据处理</w:t>
      </w:r>
    </w:p>
    <w:p w14:paraId="08FE931E">
      <w:pPr>
        <w:rPr>
          <w:rFonts w:hint="default"/>
          <w:color w:val="000000"/>
          <w:sz w:val="26"/>
          <w:lang w:val="en-US" w:eastAsia="zh-CN"/>
        </w:rPr>
      </w:pPr>
      <w:r>
        <w:rPr>
          <w:rFonts w:hint="eastAsia"/>
          <w:color w:val="000000"/>
          <w:sz w:val="26"/>
          <w:lang w:val="en-US" w:eastAsia="zh-CN"/>
        </w:rPr>
        <w:t>通过将GEANT数据集的流量需求成倍放大（2x，3x）模拟高负载情景，训练集，开发集和测试集按照1x的方法划分</w:t>
      </w:r>
    </w:p>
    <w:p w14:paraId="693FB71A">
      <w:pPr>
        <w:rPr>
          <w:rFonts w:hint="eastAsia"/>
          <w:color w:val="000000"/>
          <w:sz w:val="26"/>
          <w:lang w:val="en-US" w:eastAsia="zh-CN"/>
        </w:rPr>
      </w:pPr>
    </w:p>
    <w:p w14:paraId="3DE43235">
      <w:pPr>
        <w:pStyle w:val="4"/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 w:ascii="Calibri" w:hAnsi="Calibri" w:eastAsia="微软雅黑"/>
          <w:color w:val="000000"/>
          <w:sz w:val="26"/>
          <w:lang w:val="en-US" w:eastAsia="zh-CN"/>
        </w:rPr>
        <w:t>3改进思路</w:t>
      </w:r>
    </w:p>
    <w:p w14:paraId="3499249F">
      <w:pPr>
        <w:rPr>
          <w:rFonts w:hint="eastAsia"/>
          <w:color w:val="000000"/>
          <w:sz w:val="26"/>
          <w:lang w:val="en-US" w:eastAsia="zh-CN"/>
        </w:rPr>
      </w:pPr>
    </w:p>
    <w:p w14:paraId="7F859A77">
      <w:pPr>
        <w:numPr>
          <w:numId w:val="0"/>
        </w:numPr>
        <w:ind w:leftChars="0"/>
        <w:rPr>
          <w:rFonts w:hint="default"/>
          <w:color w:val="000000"/>
          <w:sz w:val="26"/>
          <w:lang w:val="en-US" w:eastAsia="zh-CN"/>
        </w:rPr>
      </w:pPr>
      <w:r>
        <w:rPr>
          <w:rFonts w:hint="eastAsia"/>
          <w:color w:val="000000"/>
          <w:sz w:val="26"/>
          <w:lang w:val="en-US" w:eastAsia="zh-CN"/>
        </w:rPr>
        <w:t>在高负载情况下测试Hattrick的表现，high效果保持，medium下降较为明显。原论文六目标loss中的mlu项会让high的流量分布尽可能平均，但这样不一定有利于medium的分布。在同一张图上，和oracle相比，Hattrick有过度给high分配某些特定边的倾向。Hattrick-f3新增了一个训练阶段，用退火逐渐撤走mlu项，希望在平衡分配的基础上学到这张图的特定分配方式，比如倾向于为medium预留哪些边的容量。</w:t>
      </w:r>
    </w:p>
    <w:p w14:paraId="754B64EC">
      <w:pPr>
        <w:numPr>
          <w:numId w:val="0"/>
        </w:numPr>
        <w:ind w:leftChars="0"/>
        <w:rPr>
          <w:rFonts w:hint="default"/>
          <w:color w:val="000000"/>
          <w:sz w:val="26"/>
          <w:lang w:val="en-US" w:eastAsia="zh-CN"/>
        </w:rPr>
      </w:pPr>
    </w:p>
    <w:p w14:paraId="69EE43E8">
      <w:pPr>
        <w:pStyle w:val="4"/>
        <w:numPr>
          <w:ilvl w:val="0"/>
          <w:numId w:val="0"/>
        </w:numPr>
        <w:rPr>
          <w:rFonts w:hint="eastAsia" w:ascii="Calibri" w:hAnsi="Calibri" w:eastAsia="微软雅黑"/>
          <w:color w:val="000000"/>
          <w:sz w:val="26"/>
          <w:lang w:val="en-US" w:eastAsia="zh-CN"/>
        </w:rPr>
      </w:pPr>
      <w:r>
        <w:rPr>
          <w:rFonts w:hint="eastAsia" w:ascii="Calibri" w:hAnsi="Calibri" w:eastAsia="微软雅黑"/>
          <w:color w:val="000000"/>
          <w:sz w:val="26"/>
          <w:lang w:val="en-US" w:eastAsia="zh-CN"/>
        </w:rPr>
        <w:t>4实验设置</w:t>
      </w:r>
    </w:p>
    <w:p w14:paraId="6E4EFF89"/>
    <w:p w14:paraId="0EA57F2E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实验包含1x，2x和3x三个部分，每个部分训练Hattrick和Hattrick-f3两种模型，Hattrick-f3的训练步骤如下</w:t>
      </w:r>
    </w:p>
    <w:p w14:paraId="70A2E5DE">
      <w:pPr>
        <w:numPr>
          <w:ilvl w:val="0"/>
          <w:numId w:val="1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训练20个epoch的Hattrick，选择high_mean不低于max(high_mean) - 0.01 的模型中，(medium_mean, medium_p10, medium_p1) 字典序最大的模型</w:t>
      </w:r>
    </w:p>
    <w:p w14:paraId="0D62D7D0">
      <w:pPr>
        <w:widowControl/>
        <w:numPr>
          <w:ilvl w:val="0"/>
          <w:numId w:val="10"/>
        </w:numPr>
        <w:spacing w:before="0" w:after="120" w:line="300" w:lineRule="auto"/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使用选定的Hattrick初始化Hattrick-f3的参数，初始化adam参数，初始化参数T = 12</w:t>
      </w:r>
    </w:p>
    <w:p w14:paraId="4EBD18E2">
      <w:pPr>
        <w:widowControl/>
        <w:numPr>
          <w:ilvl w:val="0"/>
          <w:numId w:val="10"/>
        </w:numPr>
        <w:spacing w:before="0" w:after="120" w:line="300" w:lineRule="auto"/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前T个epoch，第i个epoch中，每次更新时：</w:t>
      </w:r>
    </w:p>
    <w:p w14:paraId="4148DE17">
      <w:pPr>
        <w:widowControl/>
        <w:numPr>
          <w:ilvl w:val="1"/>
          <w:numId w:val="10"/>
        </w:numPr>
        <w:spacing w:before="0" w:after="120" w:line="300" w:lineRule="auto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计算退火参数a = 1/2*(1+cos( (i-1)/(T-1)*pi ) )</w:t>
      </w:r>
    </w:p>
    <w:p w14:paraId="7F5BD3D6">
      <w:pPr>
        <w:widowControl/>
        <w:numPr>
          <w:ilvl w:val="1"/>
          <w:numId w:val="10"/>
        </w:numPr>
        <w:spacing w:before="0" w:after="120" w:line="300" w:lineRule="auto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得到loss中六项的梯度 (Fh, Uh, Fhm, Uhm, Fhml, Uhml )</w:t>
      </w:r>
    </w:p>
    <w:p w14:paraId="05F64738">
      <w:pPr>
        <w:widowControl/>
        <w:numPr>
          <w:ilvl w:val="1"/>
          <w:numId w:val="10"/>
        </w:numPr>
        <w:spacing w:before="0" w:after="120" w:line="300" w:lineRule="auto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按论文的方法投影得到 g1</w:t>
      </w:r>
    </w:p>
    <w:p w14:paraId="4590AFEF">
      <w:pPr>
        <w:widowControl/>
        <w:numPr>
          <w:ilvl w:val="1"/>
          <w:numId w:val="10"/>
        </w:numPr>
        <w:spacing w:before="0" w:after="120" w:line="300" w:lineRule="auto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 (Fh, Fhm, Fhml) 三项投影得到g2</w:t>
      </w:r>
    </w:p>
    <w:p w14:paraId="26ED37CB">
      <w:pPr>
        <w:widowControl/>
        <w:numPr>
          <w:ilvl w:val="1"/>
          <w:numId w:val="10"/>
        </w:numPr>
        <w:spacing w:before="0" w:after="120" w:line="300" w:lineRule="auto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 = a*g1+(1-a)*g2</w:t>
      </w:r>
    </w:p>
    <w:p w14:paraId="71815356">
      <w:pPr>
        <w:widowControl/>
        <w:numPr>
          <w:ilvl w:val="1"/>
          <w:numId w:val="10"/>
        </w:numPr>
        <w:spacing w:before="0" w:after="120" w:line="300" w:lineRule="auto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将g按照原始形状拆分并更新</w:t>
      </w:r>
    </w:p>
    <w:p w14:paraId="72C72890">
      <w:pPr>
        <w:widowControl/>
        <w:numPr>
          <w:numId w:val="0"/>
        </w:numPr>
        <w:spacing w:before="0" w:after="120" w:line="300" w:lineRule="auto"/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随后令a=0并继续进行</w:t>
      </w:r>
    </w:p>
    <w:p w14:paraId="5F292A3D">
      <w:pPr>
        <w:widowControl/>
        <w:numPr>
          <w:numId w:val="0"/>
        </w:numPr>
        <w:spacing w:before="0" w:after="120" w:line="300" w:lineRule="auto"/>
        <w:rPr>
          <w:rFonts w:hint="default"/>
          <w:lang w:val="en-US" w:eastAsia="zh-CN"/>
        </w:rPr>
      </w:pPr>
    </w:p>
    <w:p w14:paraId="6B6EFB92">
      <w:pPr>
        <w:pStyle w:val="4"/>
        <w:numPr>
          <w:ilvl w:val="0"/>
          <w:numId w:val="0"/>
        </w:numPr>
        <w:rPr>
          <w:rFonts w:hint="default" w:ascii="Calibri" w:hAnsi="Calibri" w:eastAsia="微软雅黑"/>
          <w:color w:val="000000"/>
          <w:sz w:val="26"/>
          <w:lang w:val="en-US" w:eastAsia="zh-CN"/>
        </w:rPr>
      </w:pPr>
      <w:r>
        <w:rPr>
          <w:rFonts w:hint="eastAsia" w:ascii="Calibri" w:hAnsi="Calibri" w:eastAsia="微软雅黑"/>
          <w:color w:val="000000"/>
          <w:sz w:val="26"/>
          <w:lang w:val="en-US" w:eastAsia="zh-CN"/>
        </w:rPr>
        <w:t>5实验结果</w:t>
      </w:r>
    </w:p>
    <w:p w14:paraId="4A43D39B">
      <w:pPr>
        <w:widowControl/>
        <w:numPr>
          <w:numId w:val="0"/>
        </w:numPr>
        <w:spacing w:before="0" w:after="120" w:line="300" w:lineRule="auto"/>
        <w:rPr>
          <w:rFonts w:hint="default"/>
          <w:color w:val="000000"/>
          <w:sz w:val="26"/>
          <w:lang w:val="en-US" w:eastAsia="zh-CN"/>
        </w:rPr>
      </w:pPr>
    </w:p>
    <w:p w14:paraId="3325C7E3">
      <w:pPr>
        <w:numPr>
          <w:numId w:val="0"/>
        </w:numPr>
        <w:ind w:leftChars="0"/>
        <w:rPr>
          <w:rFonts w:hint="eastAsia"/>
          <w:color w:val="000000"/>
          <w:sz w:val="26"/>
          <w:lang w:val="en-US" w:eastAsia="zh-CN"/>
        </w:rPr>
      </w:pPr>
      <w:r>
        <w:rPr>
          <w:rFonts w:hint="eastAsia"/>
          <w:color w:val="000000"/>
          <w:sz w:val="26"/>
          <w:lang w:val="en-US" w:eastAsia="zh-CN"/>
        </w:rPr>
        <w:drawing>
          <wp:inline distT="0" distB="0" distL="114300" distR="114300">
            <wp:extent cx="5943600" cy="2228850"/>
            <wp:effectExtent l="0" t="0" r="0" b="0"/>
            <wp:docPr id="5" name="图片 5" descr="Hattrick-49_Hattrick-f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attrick-49_Hattrick-f3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9A3C">
      <w:pPr>
        <w:numPr>
          <w:numId w:val="0"/>
        </w:numPr>
        <w:ind w:leftChars="0"/>
        <w:rPr>
          <w:rFonts w:hint="eastAsia"/>
          <w:color w:val="000000"/>
          <w:sz w:val="26"/>
          <w:lang w:val="en-US" w:eastAsia="zh-CN"/>
        </w:rPr>
      </w:pPr>
    </w:p>
    <w:p w14:paraId="6DBA1682">
      <w:pPr>
        <w:numPr>
          <w:numId w:val="0"/>
        </w:numPr>
        <w:ind w:leftChars="0"/>
        <w:rPr>
          <w:rFonts w:hint="eastAsia"/>
          <w:color w:val="000000"/>
          <w:sz w:val="26"/>
          <w:lang w:val="en-US" w:eastAsia="zh-CN"/>
        </w:rPr>
      </w:pPr>
      <w:r>
        <w:rPr>
          <w:rFonts w:hint="eastAsia"/>
          <w:color w:val="000000"/>
          <w:sz w:val="26"/>
          <w:lang w:val="en-US" w:eastAsia="zh-CN"/>
        </w:rPr>
        <w:drawing>
          <wp:inline distT="0" distB="0" distL="114300" distR="114300">
            <wp:extent cx="5943600" cy="2228850"/>
            <wp:effectExtent l="0" t="0" r="0" b="0"/>
            <wp:docPr id="6" name="图片 6" descr="Hattrick-22_Hattrick-f3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attrick-22_Hattrick-f3-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1A9A">
      <w:pPr>
        <w:numPr>
          <w:numId w:val="0"/>
        </w:numPr>
        <w:ind w:leftChars="0"/>
        <w:rPr>
          <w:rFonts w:hint="eastAsia"/>
          <w:color w:val="000000"/>
          <w:sz w:val="26"/>
          <w:lang w:val="en-US" w:eastAsia="zh-CN"/>
        </w:rPr>
      </w:pPr>
    </w:p>
    <w:p w14:paraId="5AA420EC">
      <w:pPr>
        <w:numPr>
          <w:numId w:val="0"/>
        </w:numPr>
        <w:ind w:leftChars="0"/>
        <w:rPr>
          <w:rFonts w:hint="eastAsia"/>
          <w:color w:val="000000"/>
          <w:sz w:val="26"/>
          <w:lang w:val="en-US" w:eastAsia="zh-CN"/>
        </w:rPr>
      </w:pPr>
      <w:bookmarkStart w:id="0" w:name="_GoBack"/>
      <w:bookmarkEnd w:id="0"/>
    </w:p>
    <w:p w14:paraId="4E17EFE3">
      <w:pPr>
        <w:numPr>
          <w:numId w:val="0"/>
        </w:numPr>
        <w:ind w:leftChars="0"/>
        <w:rPr>
          <w:rFonts w:hint="eastAsia"/>
          <w:color w:val="000000"/>
          <w:sz w:val="26"/>
          <w:lang w:val="en-US" w:eastAsia="zh-CN"/>
        </w:rPr>
      </w:pPr>
      <w:r>
        <w:rPr>
          <w:rFonts w:hint="eastAsia"/>
          <w:color w:val="000000"/>
          <w:sz w:val="26"/>
          <w:lang w:val="en-US" w:eastAsia="zh-CN"/>
        </w:rPr>
        <w:drawing>
          <wp:inline distT="0" distB="0" distL="114300" distR="114300">
            <wp:extent cx="5943600" cy="2228850"/>
            <wp:effectExtent l="0" t="0" r="0" b="0"/>
            <wp:docPr id="7" name="图片 7" descr="Hattrick-20_Hattrick-f3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attrick-20_Hattrick-f3-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540C">
      <w:pPr>
        <w:numPr>
          <w:numId w:val="0"/>
        </w:numPr>
        <w:rPr>
          <w:rFonts w:hint="default"/>
          <w:color w:val="000000"/>
          <w:sz w:val="26"/>
          <w:lang w:val="en-US" w:eastAsia="zh-CN"/>
        </w:rPr>
      </w:pPr>
      <w:r>
        <w:rPr>
          <w:rFonts w:hint="eastAsia"/>
          <w:color w:val="000000"/>
          <w:sz w:val="26"/>
          <w:lang w:val="en-US" w:eastAsia="zh-CN"/>
        </w:rPr>
        <w:t>在1x条件下，两者的表现没有明显差异。2x和3x的条件下，high十分接近，Hattrick-f3在medium上的表现更加优秀，low的流量“转移”给了high但依然高于oracle，且medium绝对流量的增量比low的减少量要大。推理时间几乎相同</w:t>
      </w:r>
    </w:p>
    <w:p w14:paraId="5FA80CDC">
      <w:pPr>
        <w:pStyle w:val="4"/>
        <w:rPr>
          <w:rFonts w:ascii="Calibri" w:hAnsi="Calibri" w:eastAsia="微软雅黑"/>
          <w:color w:val="000000"/>
          <w:sz w:val="26"/>
        </w:rPr>
      </w:pPr>
    </w:p>
    <w:p w14:paraId="34931C1B">
      <w:pPr>
        <w:pStyle w:val="4"/>
        <w:rPr>
          <w:rFonts w:ascii="Calibri" w:hAnsi="Calibri" w:eastAsia="微软雅黑"/>
          <w:color w:val="000000"/>
          <w:sz w:val="26"/>
        </w:rPr>
      </w:pPr>
    </w:p>
    <w:p w14:paraId="63FCCAEB">
      <w:pPr>
        <w:spacing w:before="0" w:after="4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itsuFon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itsuFont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MitsuFo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color w:val="000000"/>
      </w:rPr>
    </w:lvl>
  </w:abstractNum>
  <w:abstractNum w:abstractNumId="1">
    <w:nsid w:val="D6D5D4FD"/>
    <w:multiLevelType w:val="multilevel"/>
    <w:tmpl w:val="D6D5D4F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  <w:rPr>
        <w:color w:val="000000"/>
      </w:r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  <w:rPr>
        <w:color w:val="000000"/>
      </w:r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color w:val="000000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000000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  <w:rPr>
        <w:color w:val="000000"/>
      </w:r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000000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Symbol" w:hAnsi="Symbol"/>
        <w:color w:val="000000"/>
      </w:rPr>
    </w:lvl>
  </w:abstractNum>
  <w:abstractNum w:abstractNumId="9">
    <w:nsid w:val="113F299C"/>
    <w:multiLevelType w:val="multilevel"/>
    <w:tmpl w:val="113F299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9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63E20"/>
    <w:rsid w:val="30896BCA"/>
    <w:rsid w:val="3C357C06"/>
    <w:rsid w:val="4CEE033C"/>
    <w:rsid w:val="57B82F72"/>
    <w:rsid w:val="784D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color w:val="000000"/>
    </w:rPr>
  </w:style>
  <w:style w:type="table" w:default="1" w:styleId="32">
    <w:name w:val="Normal Table"/>
    <w:semiHidden/>
    <w:unhideWhenUsed/>
    <w:qFormat/>
    <w:uiPriority w:val="99"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color w:val="000000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160" w:line="240" w:lineRule="auto"/>
    </w:pPr>
    <w:rPr>
      <w:rFonts w:ascii="Calibri" w:hAnsi="Calibri" w:eastAsia="微软雅黑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color w:val="000000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color w:val="00000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color w:val="000000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color w:val="000000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color w:val="000000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color w:val="000000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color w:val="000000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color w:val="000000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color w:val="000000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color w:val="000000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color w:val="000000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color w:val="000000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color w:val="000000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color w:val="000000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color w:val="000000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color w:val="000000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color w:val="000000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color w:val="000000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color w:val="000000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color w:val="000000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  <w:color w:val="000000"/>
    </w:rPr>
  </w:style>
  <w:style w:type="character" w:styleId="134">
    <w:name w:val="Emphasis"/>
    <w:basedOn w:val="132"/>
    <w:qFormat/>
    <w:uiPriority w:val="20"/>
    <w:rPr>
      <w:i/>
      <w:iCs/>
      <w:color w:val="000000"/>
    </w:rPr>
  </w:style>
  <w:style w:type="character" w:customStyle="1" w:styleId="135">
    <w:name w:val="Header Char"/>
    <w:basedOn w:val="132"/>
    <w:link w:val="25"/>
    <w:uiPriority w:val="99"/>
    <w:rPr>
      <w:color w:val="000000"/>
    </w:rPr>
  </w:style>
  <w:style w:type="character" w:customStyle="1" w:styleId="136">
    <w:name w:val="Footer Char"/>
    <w:basedOn w:val="132"/>
    <w:link w:val="24"/>
    <w:uiPriority w:val="99"/>
    <w:rPr>
      <w:color w:val="000000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color w:val="000000"/>
    </w:rPr>
  </w:style>
  <w:style w:type="character" w:customStyle="1" w:styleId="144">
    <w:name w:val="Body Text Char"/>
    <w:basedOn w:val="132"/>
    <w:link w:val="19"/>
    <w:qFormat/>
    <w:uiPriority w:val="99"/>
    <w:rPr>
      <w:color w:val="000000"/>
    </w:rPr>
  </w:style>
  <w:style w:type="character" w:customStyle="1" w:styleId="145">
    <w:name w:val="Body Text 2 Char"/>
    <w:basedOn w:val="132"/>
    <w:link w:val="28"/>
    <w:uiPriority w:val="99"/>
    <w:rPr>
      <w:color w:val="000000"/>
    </w:rPr>
  </w:style>
  <w:style w:type="character" w:customStyle="1" w:styleId="146">
    <w:name w:val="Body Text 3 Char"/>
    <w:basedOn w:val="132"/>
    <w:link w:val="17"/>
    <w:uiPriority w:val="99"/>
    <w:rPr>
      <w:color w:val="000000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color w:val="000000"/>
    </w:rPr>
  </w:style>
  <w:style w:type="paragraph" w:customStyle="1" w:styleId="164">
    <w:name w:val="Code Block"/>
    <w:uiPriority w:val="0"/>
    <w:pPr>
      <w:spacing w:before="120" w:after="160" w:line="264" w:lineRule="auto"/>
      <w:ind w:left="259" w:right="259"/>
    </w:pPr>
    <w:rPr>
      <w:rFonts w:ascii="Consolas" w:hAnsi="Consolas" w:eastAsia="微软雅黑" w:cstheme="minorBidi"/>
      <w:color w:val="00000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966</Words>
  <Characters>2634</Characters>
  <Lines>0</Lines>
  <Paragraphs>0</Paragraphs>
  <TotalTime>22</TotalTime>
  <ScaleCrop>false</ScaleCrop>
  <LinksUpToDate>false</LinksUpToDate>
  <CharactersWithSpaces>2835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Leo</dc:creator>
  <dc:description>generated by python-docx</dc:description>
  <cp:keywords>Hattrick, GEANT, ESM, NormFulFill, Hattrick-e</cp:keywords>
  <cp:lastModifiedBy>Leo</cp:lastModifiedBy>
  <dcterms:modified xsi:type="dcterms:W3CDTF">2026-08-30T15:42:22Z</dcterms:modified>
  <dc:subject>GEANT 数据集上的 Hattrick 复现、结果对比与 Hattrick-e 改进</dc:subject>
  <dc:title>Hattrick 复现报告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eyJoZGlkIjoiYTE4MjYwOWVmNTU5MTkwMGZhZTcwMzkzYWYyYjZkYTUiLCJ1c2VySWQiOiI3ODY3NTU5NTEifQ==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D6DA240C853C4A2F95ED376C297AD3BF_12</vt:lpwstr>
  </property>
</Properties>
</file>