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F4F6F9"/>
            <w:tcMar>
              <w:top w:w="180" w:type="dxa"/>
              <w:bottom w:w="180" w:type="dxa"/>
              <w:left w:w="220" w:type="dxa"/>
              <w:right w:w="220" w:type="dxa"/>
            </w:tcMar>
          </w:tcPr>
          <w:p>
            <w:pPr>
              <w:jc w:val="center"/>
            </w:pPr>
            <w:r>
              <w:rPr>
                <w:rFonts w:ascii="Calibri" w:hAnsi="Calibri"/>
                <w:b/>
                <w:color w:val="0F2D5A"/>
                <w:sz w:val="22"/>
              </w:rPr>
              <w:t>PROJECT COMPLETION CERTIFICATE</w:t>
              <w:br/>
              <w:t>DEPARTMENT OF MINING ENGINEERING</w:t>
              <w:br/>
              <w:t>INDIAN INSTITUTE OF TECHNOLOGY KHARAGPUR</w:t>
            </w:r>
          </w:p>
          <w:p>
            <w:pPr>
              <w:spacing w:before="160" w:line="276" w:lineRule="auto"/>
            </w:pPr>
            <w:r>
              <w:rPr>
                <w:rFonts w:ascii="Calibri" w:hAnsi="Calibri"/>
                <w:i/>
                <w:sz w:val="20"/>
              </w:rPr>
              <w:t>This is to certify that Mr. Kurra Srinivas, Roll No. 22MI31013, a 5th year dual degree student of the Department of Mining Engineering, Indian Institute of Technology Kharagpur, has successfully completed the course project titled:</w:t>
              <w:br/>
              <w:br/>
              <w:t>“Terrain Visualization and Geological Contour Mapping Using Google Earth, QuikGrid, Surfer, and AutoCAD”</w:t>
              <w:br/>
              <w:br/>
              <w:t>as a part of the course “Mine Surveying and Geoinformatics” during the academic year 2023–2024. The project has been successfully completed under my supervision, and this certificate is issued upon the student's request for academic verification purposes.</w:t>
            </w:r>
          </w:p>
          <w:p>
            <w:pPr>
              <w:spacing w:before="200"/>
            </w:pPr>
            <w:r>
              <w:rPr>
                <w:rFonts w:ascii="Calibri" w:hAnsi="Calibri"/>
                <w:b/>
                <w:sz w:val="20"/>
              </w:rPr>
              <w:t>Course Instructor / Project Supervisor:</w:t>
              <w:br/>
              <w:t>Prof. Debashish Chakravarty</w:t>
              <w:br/>
              <w:t>Professor, Department of Mining Engineering</w:t>
              <w:br/>
              <w:t>Indian Institute of Technology Kharagpur</w:t>
            </w:r>
          </w:p>
        </w:tc>
      </w:tr>
    </w:tbl>
    <w:p>
      <w:pPr>
        <w:spacing w:after="160"/>
      </w:pPr>
    </w:p>
    <w:p>
      <w:pPr>
        <w:spacing w:before="240" w:after="40"/>
      </w:pPr>
      <w:r>
        <w:rPr>
          <w:rFonts w:ascii="Calibri" w:hAnsi="Calibri"/>
          <w:b/>
          <w:color w:val="0F2D5A"/>
          <w:sz w:val="32"/>
        </w:rPr>
        <w:t>Terrain Visualization and Geological Contour Mapping Using Google Earth, QuikGrid, Surfer, and AutoCAD</w:t>
      </w:r>
    </w:p>
    <w:p>
      <w:pPr>
        <w:spacing w:after="240"/>
      </w:pPr>
      <w:r>
        <w:rPr>
          <w:rFonts w:ascii="Calibri" w:hAnsi="Calibri"/>
          <w:i/>
          <w:color w:val="5A6473"/>
          <w:sz w:val="20"/>
        </w:rPr>
        <w:t>Technical Course Project Report  |  Mine Surveying and Geoinformatics (Academic Year 2023–2024)</w:t>
        <w:br/>
        <w:t>Author: Kurra Srinivas (Roll No. 22MI31013)  |  Supervisor: Prof. Debashish Chakravarty</w:t>
        <w:br/>
        <w:t>Department of Mining Engineering, Indian Institute of Technology Kharagpur</w:t>
      </w:r>
    </w:p>
    <w:p>
      <w:pPr>
        <w:keepNext/>
        <w:spacing w:before="280" w:after="80"/>
      </w:pPr>
      <w:r>
        <w:rPr>
          <w:rFonts w:ascii="Calibri" w:hAnsi="Calibri"/>
          <w:b/>
          <w:color w:val="0F2D5A"/>
          <w:sz w:val="28"/>
        </w:rPr>
        <w:t>1. Abstract</w:t>
      </w:r>
    </w:p>
    <w:p>
      <w:pPr>
        <w:spacing w:after="80" w:line="276" w:lineRule="auto"/>
      </w:pPr>
      <w:r>
        <w:rPr>
          <w:rFonts w:ascii="Calibri" w:hAnsi="Calibri"/>
          <w:sz w:val="22"/>
        </w:rPr>
        <w:t>Accurate digital terrain modeling (DTM) and high-resolution spatial contouring are fundamental prerequisites for mine planning, surface slope stability assessment, haul road geometric design, and surface drainage management. This project establishes an end-to-end computational geomatics pipeline that acquires geospatial coordinates from satellite telemetry (Google Earth Pro), converts GPS track trajectories into structured tabular datasets via TCX conversion, performs geostatistical surface interpolation using Ordinary Kriging in Golden Software Surfer and QuikGrid, and generates layered vector contour drawings in Autodesk AutoCAD. The empirical dataset comprises 136 topographic survey points spanning a target terrain block (79.4908°E to 79.4927°E, 16.6895°N to 16.6915°N) with elevations ranging from 103.167 m to 109.744 m (relief ΔZ = 6.577 m). Planar trend surface regression yielded a coefficient of determination (R² = 0.8891, F = 532.93, p &lt; 0.001), revealing a pronounced eastward topographical gradient. Geostatistical interpolation over a 100 × 93 grid (9,300 nodes, spatial resolution ≈ 2.1 m × 2.2 m) produced an isotropic linear semi-variogram surface (variance σ² = 3.103 m²) that was vectorized into production-grade DXF/DWG formats. This workflow provides an accessible, robust protocol for pre-feasibility mine bench design and environmental terrain modeling.</w:t>
      </w:r>
    </w:p>
    <w:p>
      <w:pPr>
        <w:keepNext/>
        <w:spacing w:before="280" w:after="80"/>
      </w:pPr>
      <w:r>
        <w:rPr>
          <w:rFonts w:ascii="Calibri" w:hAnsi="Calibri"/>
          <w:b/>
          <w:color w:val="0F2D5A"/>
          <w:sz w:val="28"/>
        </w:rPr>
        <w:t>2. Introduction &amp; Problem Statement</w:t>
      </w:r>
    </w:p>
    <w:p>
      <w:pPr>
        <w:keepNext/>
        <w:spacing w:before="200" w:after="60"/>
      </w:pPr>
      <w:r>
        <w:rPr>
          <w:rFonts w:ascii="Calibri" w:hAnsi="Calibri"/>
          <w:b/>
          <w:color w:val="284B78"/>
          <w:sz w:val="24"/>
        </w:rPr>
        <w:t>2.1 Background in Mining Engineering</w:t>
      </w:r>
    </w:p>
    <w:p>
      <w:pPr>
        <w:spacing w:after="80" w:line="276" w:lineRule="auto"/>
      </w:pPr>
      <w:r>
        <w:rPr>
          <w:rFonts w:ascii="Calibri" w:hAnsi="Calibri"/>
          <w:sz w:val="22"/>
        </w:rPr>
        <w:t>Surface and underground mining operations rely critically on accurate geospatial representations of surface topography and geologic interfaces. Topographic contours dictate bench geometry, pit-shell optimization, overburden dumpsite stability, surface runoff channels, and haulage ramp gradients. Traditional theodolite and total station surveys, while highly precise, are resource-intensive and often constrained by hazardous terrain accessibility in active open-pit mines. Integrating spaceborne digital elevation models (DEMs), Global Navigation Satellite System (GNSS) trajectories, and geostatistical modeling offers a rapid, cost-effective alternative for preliminary mine site evaluation, reconnaissance, and boundary mapping.</w:t>
      </w:r>
    </w:p>
    <w:p>
      <w:pPr>
        <w:keepNext/>
        <w:spacing w:before="200" w:after="60"/>
      </w:pPr>
      <w:r>
        <w:rPr>
          <w:rFonts w:ascii="Calibri" w:hAnsi="Calibri"/>
          <w:b/>
          <w:color w:val="284B78"/>
          <w:sz w:val="24"/>
        </w:rPr>
        <w:t>2.2 Objectives &amp; Scope</w:t>
      </w:r>
    </w:p>
    <w:p>
      <w:pPr>
        <w:spacing w:after="80" w:line="276" w:lineRule="auto"/>
      </w:pPr>
      <w:r>
        <w:rPr>
          <w:rFonts w:ascii="Calibri" w:hAnsi="Calibri"/>
          <w:sz w:val="22"/>
        </w:rPr>
        <w:t>The objective of this investigation is to construct a verified computational workflow to:</w:t>
      </w:r>
    </w:p>
    <w:p>
      <w:pPr>
        <w:spacing w:after="80" w:line="276" w:lineRule="auto"/>
      </w:pPr>
      <w:r>
        <w:rPr>
          <w:rFonts w:ascii="Calibri" w:hAnsi="Calibri"/>
          <w:sz w:val="22"/>
        </w:rPr>
        <w:t>1. Extract topographic coordinate tracks across an area of interest using satellite photogrammetry in Google Earth Pro.</w:t>
      </w:r>
    </w:p>
    <w:p>
      <w:pPr>
        <w:spacing w:after="80" w:line="276" w:lineRule="auto"/>
      </w:pPr>
      <w:r>
        <w:rPr>
          <w:rFonts w:ascii="Calibri" w:hAnsi="Calibri"/>
          <w:sz w:val="22"/>
        </w:rPr>
        <w:t>2. Filter, clean, and process the raw GNSS time-series stream into spatial coordinates (X, Y, Z) referenced to WGS84 ellipsoidal datums.</w:t>
      </w:r>
    </w:p>
    <w:p>
      <w:pPr>
        <w:spacing w:after="80" w:line="276" w:lineRule="auto"/>
      </w:pPr>
      <w:r>
        <w:rPr>
          <w:rFonts w:ascii="Calibri" w:hAnsi="Calibri"/>
          <w:sz w:val="22"/>
        </w:rPr>
        <w:t>3. Conduct univariate statistical, bivariate regression, and spatial auto-correlation analyses on the elevation field.</w:t>
      </w:r>
    </w:p>
    <w:p>
      <w:pPr>
        <w:spacing w:after="80" w:line="276" w:lineRule="auto"/>
      </w:pPr>
      <w:r>
        <w:rPr>
          <w:rFonts w:ascii="Calibri" w:hAnsi="Calibri"/>
          <w:sz w:val="22"/>
        </w:rPr>
        <w:t>4. Execute Ordinary Kriging interpolation to construct a continuous digital elevation grid (100 × 93 nodes).</w:t>
      </w:r>
    </w:p>
    <w:p>
      <w:pPr>
        <w:spacing w:after="80" w:line="276" w:lineRule="auto"/>
      </w:pPr>
      <w:r>
        <w:rPr>
          <w:rFonts w:ascii="Calibri" w:hAnsi="Calibri"/>
          <w:sz w:val="22"/>
        </w:rPr>
        <w:t>5. Generate 2D iso-elevation contour lines and 3D wireframe surface models, exporting vector geometries into Autodesk AutoCAD for engineering drafting.</w:t>
      </w:r>
    </w:p>
    <w:p>
      <w:pPr>
        <w:keepNext/>
        <w:spacing w:before="280" w:after="80"/>
      </w:pPr>
      <w:r>
        <w:rPr>
          <w:rFonts w:ascii="Calibri" w:hAnsi="Calibri"/>
          <w:b/>
          <w:color w:val="0F2D5A"/>
          <w:sz w:val="28"/>
        </w:rPr>
        <w:t>3. Methodology &amp; Implementation</w:t>
      </w:r>
    </w:p>
    <w:p>
      <w:pPr>
        <w:keepNext/>
        <w:spacing w:before="200" w:after="60"/>
      </w:pPr>
      <w:r>
        <w:rPr>
          <w:rFonts w:ascii="Calibri" w:hAnsi="Calibri"/>
          <w:b/>
          <w:color w:val="284B78"/>
          <w:sz w:val="24"/>
        </w:rPr>
        <w:t>3.1 Mathematical Formulations</w:t>
      </w:r>
    </w:p>
    <w:p>
      <w:pPr>
        <w:spacing w:after="80" w:line="276" w:lineRule="auto"/>
      </w:pPr>
      <w:r>
        <w:rPr>
          <w:rFonts w:ascii="Calibri" w:hAnsi="Calibri"/>
          <w:sz w:val="22"/>
        </w:rPr>
        <w:t>The regional topographic relief is modeled via a bivariate first-order polynomial surface: Z(X, Y) = A·X + B·Y + C + ε, where X is Longitude (°E), Y is Latitude (°N), Z is surface elevation (m), A and B are directional gradients, C is the datum constant, and ε is the local residual error.</w:t>
      </w:r>
    </w:p>
    <w:p>
      <w:pPr>
        <w:spacing w:after="80" w:line="276" w:lineRule="auto"/>
      </w:pPr>
      <w:r>
        <w:rPr>
          <w:rFonts w:ascii="Calibri" w:hAnsi="Calibri"/>
          <w:sz w:val="22"/>
        </w:rPr>
        <w:t>Spatial continuity is evaluated using the empirical semi-variogram γ(h) = (1 / 2N(h)) ∑ [Z(x_i) - Z(x_i + h)]². An isotropic linear variogram model γ(h) = C_0 + ω·h was fitted with nugget C_0 = 0 and slope ω = 2866.27 m²/degree. Best Linear Unbiased Estimates (BLUE) at grid nodes were calculated using Ordinary Point Kriging.</w:t>
      </w:r>
    </w:p>
    <w:p>
      <w:pPr>
        <w:keepNext/>
        <w:spacing w:before="200" w:after="60"/>
      </w:pPr>
      <w:r>
        <w:rPr>
          <w:rFonts w:ascii="Calibri" w:hAnsi="Calibri"/>
          <w:b/>
          <w:color w:val="284B78"/>
          <w:sz w:val="24"/>
        </w:rPr>
        <w:t>3.2 Computational Workflow &amp; Software Stack</w:t>
      </w:r>
    </w:p>
    <w:p>
      <w:pPr>
        <w:spacing w:after="80" w:line="276" w:lineRule="auto"/>
      </w:pPr>
      <w:r>
        <w:rPr>
          <w:rFonts w:ascii="Calibri" w:hAnsi="Calibri"/>
          <w:sz w:val="22"/>
        </w:rPr>
        <w:t>• Google Earth Pro (contours.kml): Defined the target mining concession boundary and extracted elevation-enabled path waypoints.</w:t>
        <w:br/>
        <w:t>• TCX Converter (contour22mi10054.csv): Parsed raw XML trackpoint metadata into tabular time-stamped records.</w:t>
        <w:br/>
        <w:t>• Point Extraction (csv excel file.csv): Formatted 136 discrete survey points into standard comma-separated Cartesian tuples [X, Y, Z].</w:t>
        <w:br/>
        <w:t>• Golden Software Surfer &amp; QuikGrid (csv excel file.grd, Plot1.srf, Plot2.srf): Executed point Kriging over 100 rows × 93 columns (9,300 nodes).</w:t>
        <w:br/>
        <w:t>• Autodesk AutoCAD (22MI31013_KURRA SRINIVAS.dwg, final contour map.dxf): Imported polyline contours, aligned drawing units, configured contour index line labeling (major vs. minor intervals), and generated the mine site master plan.</w:t>
      </w:r>
    </w:p>
    <w:p>
      <w:r>
        <w:drawing>
          <wp:inline xmlns:a="http://schemas.openxmlformats.org/drawingml/2006/main" xmlns:pic="http://schemas.openxmlformats.org/drawingml/2006/picture">
            <wp:extent cx="5669280" cy="2439810"/>
            <wp:docPr id="1" name="Picture 1"/>
            <wp:cNvGraphicFramePr>
              <a:graphicFrameLocks noChangeAspect="1"/>
            </wp:cNvGraphicFramePr>
            <a:graphic>
              <a:graphicData uri="http://schemas.openxmlformats.org/drawingml/2006/picture">
                <pic:pic>
                  <pic:nvPicPr>
                    <pic:cNvPr id="0" name="fig1_topographic_contour_3d.png"/>
                    <pic:cNvPicPr/>
                  </pic:nvPicPr>
                  <pic:blipFill>
                    <a:blip r:embed="rId9"/>
                    <a:stretch>
                      <a:fillRect/>
                    </a:stretch>
                  </pic:blipFill>
                  <pic:spPr>
                    <a:xfrm>
                      <a:off x="0" y="0"/>
                      <a:ext cx="5669280" cy="2439810"/>
                    </a:xfrm>
                    <a:prstGeom prst="rect"/>
                  </pic:spPr>
                </pic:pic>
              </a:graphicData>
            </a:graphic>
          </wp:inline>
        </w:drawing>
      </w:r>
    </w:p>
    <w:p>
      <w:pPr>
        <w:spacing w:before="80" w:after="200"/>
      </w:pPr>
      <w:r>
        <w:rPr>
          <w:rFonts w:ascii="Calibri" w:hAnsi="Calibri"/>
          <w:i/>
          <w:sz w:val="19"/>
        </w:rPr>
        <w:t>Figure 1: Digital Elevation Model (DEM) and 2D Topographic Contour Map (left) along with the 3D Interpolated Surface Mesh (right) generated from the 136-point survey dataset across the mining concession area.</w:t>
      </w:r>
    </w:p>
    <w:p>
      <w:pPr>
        <w:keepNext/>
        <w:spacing w:before="280" w:after="80"/>
      </w:pPr>
      <w:r>
        <w:rPr>
          <w:rFonts w:ascii="Calibri" w:hAnsi="Calibri"/>
          <w:b/>
          <w:color w:val="0F2D5A"/>
          <w:sz w:val="28"/>
        </w:rPr>
        <w:t>4. Results &amp; Statistical Analysis</w:t>
      </w:r>
    </w:p>
    <w:p>
      <w:pPr>
        <w:spacing w:after="80" w:line="276" w:lineRule="auto"/>
      </w:pPr>
      <w:r>
        <w:rPr>
          <w:rFonts w:ascii="Calibri" w:hAnsi="Calibri"/>
          <w:sz w:val="22"/>
        </w:rPr>
        <w:t>The statistical and geostatistical metrics computed from the raw survey and interpolated grids are summarized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80" w:type="dxa"/>
              <w:bottom w:w="80" w:type="dxa"/>
              <w:left w:w="100" w:type="dxa"/>
              <w:right w:w="100" w:type="dxa"/>
            </w:tcMar>
          </w:tcPr>
          <w:p>
            <w:r>
              <w:rPr>
                <w:rFonts w:ascii="Calibri" w:hAnsi="Calibri"/>
                <w:b/>
                <w:color w:val="FFFFFF"/>
                <w:sz w:val="19"/>
              </w:rPr>
              <w:t>Metric / Parameter</w:t>
            </w:r>
          </w:p>
        </w:tc>
        <w:tc>
          <w:tcPr>
            <w:tcW w:type="dxa" w:w="2340"/>
            <w:shd w:fill="1F497D"/>
            <w:tcMar>
              <w:top w:w="80" w:type="dxa"/>
              <w:bottom w:w="80" w:type="dxa"/>
              <w:left w:w="100" w:type="dxa"/>
              <w:right w:w="100" w:type="dxa"/>
            </w:tcMar>
          </w:tcPr>
          <w:p>
            <w:r>
              <w:rPr>
                <w:rFonts w:ascii="Calibri" w:hAnsi="Calibri"/>
                <w:b/>
                <w:color w:val="FFFFFF"/>
                <w:sz w:val="19"/>
              </w:rPr>
              <w:t>Raw Survey Points</w:t>
            </w:r>
          </w:p>
        </w:tc>
        <w:tc>
          <w:tcPr>
            <w:tcW w:type="dxa" w:w="2340"/>
            <w:shd w:fill="1F497D"/>
            <w:tcMar>
              <w:top w:w="80" w:type="dxa"/>
              <w:bottom w:w="80" w:type="dxa"/>
              <w:left w:w="100" w:type="dxa"/>
              <w:right w:w="100" w:type="dxa"/>
            </w:tcMar>
          </w:tcPr>
          <w:p>
            <w:r>
              <w:rPr>
                <w:rFonts w:ascii="Calibri" w:hAnsi="Calibri"/>
                <w:b/>
                <w:color w:val="FFFFFF"/>
                <w:sz w:val="19"/>
              </w:rPr>
              <w:t>Interpolated Grid</w:t>
            </w:r>
          </w:p>
        </w:tc>
        <w:tc>
          <w:tcPr>
            <w:tcW w:type="dxa" w:w="2340"/>
            <w:shd w:fill="1F497D"/>
            <w:tcMar>
              <w:top w:w="80" w:type="dxa"/>
              <w:bottom w:w="80" w:type="dxa"/>
              <w:left w:w="100" w:type="dxa"/>
              <w:right w:w="100" w:type="dxa"/>
            </w:tcMar>
          </w:tcPr>
          <w:p>
            <w:r>
              <w:rPr>
                <w:rFonts w:ascii="Calibri" w:hAnsi="Calibri"/>
                <w:b/>
                <w:color w:val="FFFFFF"/>
                <w:sz w:val="19"/>
              </w:rPr>
              <w:t>Units</w:t>
            </w:r>
          </w:p>
        </w:tc>
      </w:tr>
      <w:tr>
        <w:tc>
          <w:tcPr>
            <w:tcW w:type="dxa" w:w="2340"/>
            <w:shd w:fill="FFFFFF"/>
            <w:tcMar>
              <w:top w:w="50" w:type="dxa"/>
              <w:bottom w:w="50" w:type="dxa"/>
              <w:left w:w="80" w:type="dxa"/>
              <w:right w:w="80" w:type="dxa"/>
            </w:tcMar>
          </w:tcPr>
          <w:p>
            <w:r>
              <w:rPr>
                <w:rFonts w:ascii="Calibri" w:hAnsi="Calibri"/>
                <w:sz w:val="18"/>
              </w:rPr>
              <w:t>Total Node / Point Count</w:t>
            </w:r>
          </w:p>
        </w:tc>
        <w:tc>
          <w:tcPr>
            <w:tcW w:type="dxa" w:w="2340"/>
            <w:shd w:fill="FFFFFF"/>
            <w:tcMar>
              <w:top w:w="50" w:type="dxa"/>
              <w:bottom w:w="50" w:type="dxa"/>
              <w:left w:w="80" w:type="dxa"/>
              <w:right w:w="80" w:type="dxa"/>
            </w:tcMar>
          </w:tcPr>
          <w:p>
            <w:r>
              <w:rPr>
                <w:rFonts w:ascii="Calibri" w:hAnsi="Calibri"/>
                <w:sz w:val="18"/>
              </w:rPr>
              <w:t>136</w:t>
            </w:r>
          </w:p>
        </w:tc>
        <w:tc>
          <w:tcPr>
            <w:tcW w:type="dxa" w:w="2340"/>
            <w:shd w:fill="FFFFFF"/>
            <w:tcMar>
              <w:top w:w="50" w:type="dxa"/>
              <w:bottom w:w="50" w:type="dxa"/>
              <w:left w:w="80" w:type="dxa"/>
              <w:right w:w="80" w:type="dxa"/>
            </w:tcMar>
          </w:tcPr>
          <w:p>
            <w:r>
              <w:rPr>
                <w:rFonts w:ascii="Calibri" w:hAnsi="Calibri"/>
                <w:sz w:val="18"/>
              </w:rPr>
              <w:t>9,300 (100 x 93)</w:t>
            </w:r>
          </w:p>
        </w:tc>
        <w:tc>
          <w:tcPr>
            <w:tcW w:type="dxa" w:w="2340"/>
            <w:shd w:fill="FFFFFF"/>
            <w:tcMar>
              <w:top w:w="50" w:type="dxa"/>
              <w:bottom w:w="50" w:type="dxa"/>
              <w:left w:w="80" w:type="dxa"/>
              <w:right w:w="80" w:type="dxa"/>
            </w:tcMar>
          </w:tcPr>
          <w:p>
            <w:r>
              <w:rPr>
                <w:rFonts w:ascii="Calibri" w:hAnsi="Calibri"/>
                <w:sz w:val="18"/>
              </w:rPr>
              <w:t>points / nodes</w:t>
            </w:r>
          </w:p>
        </w:tc>
      </w:tr>
      <w:tr>
        <w:tc>
          <w:tcPr>
            <w:tcW w:type="dxa" w:w="2340"/>
            <w:shd w:fill="F2F5F8"/>
            <w:tcMar>
              <w:top w:w="50" w:type="dxa"/>
              <w:bottom w:w="50" w:type="dxa"/>
              <w:left w:w="80" w:type="dxa"/>
              <w:right w:w="80" w:type="dxa"/>
            </w:tcMar>
          </w:tcPr>
          <w:p>
            <w:r>
              <w:rPr>
                <w:rFonts w:ascii="Calibri" w:hAnsi="Calibri"/>
                <w:sz w:val="18"/>
              </w:rPr>
              <w:t>Longitude Range (X)</w:t>
            </w:r>
          </w:p>
        </w:tc>
        <w:tc>
          <w:tcPr>
            <w:tcW w:type="dxa" w:w="2340"/>
            <w:shd w:fill="F2F5F8"/>
            <w:tcMar>
              <w:top w:w="50" w:type="dxa"/>
              <w:bottom w:w="50" w:type="dxa"/>
              <w:left w:w="80" w:type="dxa"/>
              <w:right w:w="80" w:type="dxa"/>
            </w:tcMar>
          </w:tcPr>
          <w:p>
            <w:r>
              <w:rPr>
                <w:rFonts w:ascii="Calibri" w:hAnsi="Calibri"/>
                <w:sz w:val="18"/>
              </w:rPr>
              <w:t>79.490846 to 79.492670</w:t>
            </w:r>
          </w:p>
        </w:tc>
        <w:tc>
          <w:tcPr>
            <w:tcW w:type="dxa" w:w="2340"/>
            <w:shd w:fill="F2F5F8"/>
            <w:tcMar>
              <w:top w:w="50" w:type="dxa"/>
              <w:bottom w:w="50" w:type="dxa"/>
              <w:left w:w="80" w:type="dxa"/>
              <w:right w:w="80" w:type="dxa"/>
            </w:tcMar>
          </w:tcPr>
          <w:p>
            <w:r>
              <w:rPr>
                <w:rFonts w:ascii="Calibri" w:hAnsi="Calibri"/>
                <w:sz w:val="18"/>
              </w:rPr>
              <w:t>79.490846 to 79.492670</w:t>
            </w:r>
          </w:p>
        </w:tc>
        <w:tc>
          <w:tcPr>
            <w:tcW w:type="dxa" w:w="2340"/>
            <w:shd w:fill="F2F5F8"/>
            <w:tcMar>
              <w:top w:w="50" w:type="dxa"/>
              <w:bottom w:w="50" w:type="dxa"/>
              <w:left w:w="80" w:type="dxa"/>
              <w:right w:w="80" w:type="dxa"/>
            </w:tcMar>
          </w:tcPr>
          <w:p>
            <w:r>
              <w:rPr>
                <w:rFonts w:ascii="Calibri" w:hAnsi="Calibri"/>
                <w:sz w:val="18"/>
              </w:rPr>
              <w:t>°E</w:t>
            </w:r>
          </w:p>
        </w:tc>
      </w:tr>
      <w:tr>
        <w:tc>
          <w:tcPr>
            <w:tcW w:type="dxa" w:w="2340"/>
            <w:shd w:fill="FFFFFF"/>
            <w:tcMar>
              <w:top w:w="50" w:type="dxa"/>
              <w:bottom w:w="50" w:type="dxa"/>
              <w:left w:w="80" w:type="dxa"/>
              <w:right w:w="80" w:type="dxa"/>
            </w:tcMar>
          </w:tcPr>
          <w:p>
            <w:r>
              <w:rPr>
                <w:rFonts w:ascii="Calibri" w:hAnsi="Calibri"/>
                <w:sz w:val="18"/>
              </w:rPr>
              <w:t>Grid Spacing ΔX</w:t>
            </w:r>
          </w:p>
        </w:tc>
        <w:tc>
          <w:tcPr>
            <w:tcW w:type="dxa" w:w="2340"/>
            <w:shd w:fill="FFFFFF"/>
            <w:tcMar>
              <w:top w:w="50" w:type="dxa"/>
              <w:bottom w:w="50" w:type="dxa"/>
              <w:left w:w="80" w:type="dxa"/>
              <w:right w:w="80" w:type="dxa"/>
            </w:tcMar>
          </w:tcPr>
          <w:p>
            <w:r>
              <w:rPr>
                <w:rFonts w:ascii="Calibri" w:hAnsi="Calibri"/>
                <w:sz w:val="18"/>
              </w:rPr>
              <w:t>—</w:t>
            </w:r>
          </w:p>
        </w:tc>
        <w:tc>
          <w:tcPr>
            <w:tcW w:type="dxa" w:w="2340"/>
            <w:shd w:fill="FFFFFF"/>
            <w:tcMar>
              <w:top w:w="50" w:type="dxa"/>
              <w:bottom w:w="50" w:type="dxa"/>
              <w:left w:w="80" w:type="dxa"/>
              <w:right w:w="80" w:type="dxa"/>
            </w:tcMar>
          </w:tcPr>
          <w:p>
            <w:r>
              <w:rPr>
                <w:rFonts w:ascii="Calibri" w:hAnsi="Calibri"/>
                <w:sz w:val="18"/>
              </w:rPr>
              <w:t>1.9826 x 10⁻⁵ (≈ 2.1 m)</w:t>
            </w:r>
          </w:p>
        </w:tc>
        <w:tc>
          <w:tcPr>
            <w:tcW w:type="dxa" w:w="2340"/>
            <w:shd w:fill="FFFFFF"/>
            <w:tcMar>
              <w:top w:w="50" w:type="dxa"/>
              <w:bottom w:w="50" w:type="dxa"/>
              <w:left w:w="80" w:type="dxa"/>
              <w:right w:w="80" w:type="dxa"/>
            </w:tcMar>
          </w:tcPr>
          <w:p>
            <w:r>
              <w:rPr>
                <w:rFonts w:ascii="Calibri" w:hAnsi="Calibri"/>
                <w:sz w:val="18"/>
              </w:rPr>
              <w:t>° (m)</w:t>
            </w:r>
          </w:p>
        </w:tc>
      </w:tr>
      <w:tr>
        <w:tc>
          <w:tcPr>
            <w:tcW w:type="dxa" w:w="2340"/>
            <w:shd w:fill="F2F5F8"/>
            <w:tcMar>
              <w:top w:w="50" w:type="dxa"/>
              <w:bottom w:w="50" w:type="dxa"/>
              <w:left w:w="80" w:type="dxa"/>
              <w:right w:w="80" w:type="dxa"/>
            </w:tcMar>
          </w:tcPr>
          <w:p>
            <w:r>
              <w:rPr>
                <w:rFonts w:ascii="Calibri" w:hAnsi="Calibri"/>
                <w:sz w:val="18"/>
              </w:rPr>
              <w:t>Latitude Range (Y)</w:t>
            </w:r>
          </w:p>
        </w:tc>
        <w:tc>
          <w:tcPr>
            <w:tcW w:type="dxa" w:w="2340"/>
            <w:shd w:fill="F2F5F8"/>
            <w:tcMar>
              <w:top w:w="50" w:type="dxa"/>
              <w:bottom w:w="50" w:type="dxa"/>
              <w:left w:w="80" w:type="dxa"/>
              <w:right w:w="80" w:type="dxa"/>
            </w:tcMar>
          </w:tcPr>
          <w:p>
            <w:r>
              <w:rPr>
                <w:rFonts w:ascii="Calibri" w:hAnsi="Calibri"/>
                <w:sz w:val="18"/>
              </w:rPr>
              <w:t>16.689519 to 16.691473</w:t>
            </w:r>
          </w:p>
        </w:tc>
        <w:tc>
          <w:tcPr>
            <w:tcW w:type="dxa" w:w="2340"/>
            <w:shd w:fill="F2F5F8"/>
            <w:tcMar>
              <w:top w:w="50" w:type="dxa"/>
              <w:bottom w:w="50" w:type="dxa"/>
              <w:left w:w="80" w:type="dxa"/>
              <w:right w:w="80" w:type="dxa"/>
            </w:tcMar>
          </w:tcPr>
          <w:p>
            <w:r>
              <w:rPr>
                <w:rFonts w:ascii="Calibri" w:hAnsi="Calibri"/>
                <w:sz w:val="18"/>
              </w:rPr>
              <w:t>16.689519 to 16.691473</w:t>
            </w:r>
          </w:p>
        </w:tc>
        <w:tc>
          <w:tcPr>
            <w:tcW w:type="dxa" w:w="2340"/>
            <w:shd w:fill="F2F5F8"/>
            <w:tcMar>
              <w:top w:w="50" w:type="dxa"/>
              <w:bottom w:w="50" w:type="dxa"/>
              <w:left w:w="80" w:type="dxa"/>
              <w:right w:w="80" w:type="dxa"/>
            </w:tcMar>
          </w:tcPr>
          <w:p>
            <w:r>
              <w:rPr>
                <w:rFonts w:ascii="Calibri" w:hAnsi="Calibri"/>
                <w:sz w:val="18"/>
              </w:rPr>
              <w:t>°N</w:t>
            </w:r>
          </w:p>
        </w:tc>
      </w:tr>
      <w:tr>
        <w:tc>
          <w:tcPr>
            <w:tcW w:type="dxa" w:w="2340"/>
            <w:shd w:fill="FFFFFF"/>
            <w:tcMar>
              <w:top w:w="50" w:type="dxa"/>
              <w:bottom w:w="50" w:type="dxa"/>
              <w:left w:w="80" w:type="dxa"/>
              <w:right w:w="80" w:type="dxa"/>
            </w:tcMar>
          </w:tcPr>
          <w:p>
            <w:r>
              <w:rPr>
                <w:rFonts w:ascii="Calibri" w:hAnsi="Calibri"/>
                <w:sz w:val="18"/>
              </w:rPr>
              <w:t>Grid Spacing ΔY</w:t>
            </w:r>
          </w:p>
        </w:tc>
        <w:tc>
          <w:tcPr>
            <w:tcW w:type="dxa" w:w="2340"/>
            <w:shd w:fill="FFFFFF"/>
            <w:tcMar>
              <w:top w:w="50" w:type="dxa"/>
              <w:bottom w:w="50" w:type="dxa"/>
              <w:left w:w="80" w:type="dxa"/>
              <w:right w:w="80" w:type="dxa"/>
            </w:tcMar>
          </w:tcPr>
          <w:p>
            <w:r>
              <w:rPr>
                <w:rFonts w:ascii="Calibri" w:hAnsi="Calibri"/>
                <w:sz w:val="18"/>
              </w:rPr>
              <w:t>—</w:t>
            </w:r>
          </w:p>
        </w:tc>
        <w:tc>
          <w:tcPr>
            <w:tcW w:type="dxa" w:w="2340"/>
            <w:shd w:fill="FFFFFF"/>
            <w:tcMar>
              <w:top w:w="50" w:type="dxa"/>
              <w:bottom w:w="50" w:type="dxa"/>
              <w:left w:w="80" w:type="dxa"/>
              <w:right w:w="80" w:type="dxa"/>
            </w:tcMar>
          </w:tcPr>
          <w:p>
            <w:r>
              <w:rPr>
                <w:rFonts w:ascii="Calibri" w:hAnsi="Calibri"/>
                <w:sz w:val="18"/>
              </w:rPr>
              <w:t>1.9737 x 10⁻⁵ (≈ 2.2 m)</w:t>
            </w:r>
          </w:p>
        </w:tc>
        <w:tc>
          <w:tcPr>
            <w:tcW w:type="dxa" w:w="2340"/>
            <w:shd w:fill="FFFFFF"/>
            <w:tcMar>
              <w:top w:w="50" w:type="dxa"/>
              <w:bottom w:w="50" w:type="dxa"/>
              <w:left w:w="80" w:type="dxa"/>
              <w:right w:w="80" w:type="dxa"/>
            </w:tcMar>
          </w:tcPr>
          <w:p>
            <w:r>
              <w:rPr>
                <w:rFonts w:ascii="Calibri" w:hAnsi="Calibri"/>
                <w:sz w:val="18"/>
              </w:rPr>
              <w:t>° (m)</w:t>
            </w:r>
          </w:p>
        </w:tc>
      </w:tr>
      <w:tr>
        <w:tc>
          <w:tcPr>
            <w:tcW w:type="dxa" w:w="2340"/>
            <w:shd w:fill="F2F5F8"/>
            <w:tcMar>
              <w:top w:w="50" w:type="dxa"/>
              <w:bottom w:w="50" w:type="dxa"/>
              <w:left w:w="80" w:type="dxa"/>
              <w:right w:w="80" w:type="dxa"/>
            </w:tcMar>
          </w:tcPr>
          <w:p>
            <w:r>
              <w:rPr>
                <w:rFonts w:ascii="Calibri" w:hAnsi="Calibri"/>
                <w:sz w:val="18"/>
              </w:rPr>
              <w:t>Minimum Elevation (Z_min)</w:t>
            </w:r>
          </w:p>
        </w:tc>
        <w:tc>
          <w:tcPr>
            <w:tcW w:type="dxa" w:w="2340"/>
            <w:shd w:fill="F2F5F8"/>
            <w:tcMar>
              <w:top w:w="50" w:type="dxa"/>
              <w:bottom w:w="50" w:type="dxa"/>
              <w:left w:w="80" w:type="dxa"/>
              <w:right w:w="80" w:type="dxa"/>
            </w:tcMar>
          </w:tcPr>
          <w:p>
            <w:r>
              <w:rPr>
                <w:rFonts w:ascii="Calibri" w:hAnsi="Calibri"/>
                <w:sz w:val="18"/>
              </w:rPr>
              <w:t>103.167</w:t>
            </w:r>
          </w:p>
        </w:tc>
        <w:tc>
          <w:tcPr>
            <w:tcW w:type="dxa" w:w="2340"/>
            <w:shd w:fill="F2F5F8"/>
            <w:tcMar>
              <w:top w:w="50" w:type="dxa"/>
              <w:bottom w:w="50" w:type="dxa"/>
              <w:left w:w="80" w:type="dxa"/>
              <w:right w:w="80" w:type="dxa"/>
            </w:tcMar>
          </w:tcPr>
          <w:p>
            <w:r>
              <w:rPr>
                <w:rFonts w:ascii="Calibri" w:hAnsi="Calibri"/>
                <w:sz w:val="18"/>
              </w:rPr>
              <w:t>103.153</w:t>
            </w:r>
          </w:p>
        </w:tc>
        <w:tc>
          <w:tcPr>
            <w:tcW w:type="dxa" w:w="2340"/>
            <w:shd w:fill="F2F5F8"/>
            <w:tcMar>
              <w:top w:w="50" w:type="dxa"/>
              <w:bottom w:w="50" w:type="dxa"/>
              <w:left w:w="80" w:type="dxa"/>
              <w:right w:w="80" w:type="dxa"/>
            </w:tcMar>
          </w:tcPr>
          <w:p>
            <w:r>
              <w:rPr>
                <w:rFonts w:ascii="Calibri" w:hAnsi="Calibri"/>
                <w:sz w:val="18"/>
              </w:rPr>
              <w:t>m</w:t>
            </w:r>
          </w:p>
        </w:tc>
      </w:tr>
      <w:tr>
        <w:tc>
          <w:tcPr>
            <w:tcW w:type="dxa" w:w="2340"/>
            <w:shd w:fill="FFFFFF"/>
            <w:tcMar>
              <w:top w:w="50" w:type="dxa"/>
              <w:bottom w:w="50" w:type="dxa"/>
              <w:left w:w="80" w:type="dxa"/>
              <w:right w:w="80" w:type="dxa"/>
            </w:tcMar>
          </w:tcPr>
          <w:p>
            <w:r>
              <w:rPr>
                <w:rFonts w:ascii="Calibri" w:hAnsi="Calibri"/>
                <w:sz w:val="18"/>
              </w:rPr>
              <w:t>Maximum Elevation (Z_max)</w:t>
            </w:r>
          </w:p>
        </w:tc>
        <w:tc>
          <w:tcPr>
            <w:tcW w:type="dxa" w:w="2340"/>
            <w:shd w:fill="FFFFFF"/>
            <w:tcMar>
              <w:top w:w="50" w:type="dxa"/>
              <w:bottom w:w="50" w:type="dxa"/>
              <w:left w:w="80" w:type="dxa"/>
              <w:right w:w="80" w:type="dxa"/>
            </w:tcMar>
          </w:tcPr>
          <w:p>
            <w:r>
              <w:rPr>
                <w:rFonts w:ascii="Calibri" w:hAnsi="Calibri"/>
                <w:sz w:val="18"/>
              </w:rPr>
              <w:t>109.744</w:t>
            </w:r>
          </w:p>
        </w:tc>
        <w:tc>
          <w:tcPr>
            <w:tcW w:type="dxa" w:w="2340"/>
            <w:shd w:fill="FFFFFF"/>
            <w:tcMar>
              <w:top w:w="50" w:type="dxa"/>
              <w:bottom w:w="50" w:type="dxa"/>
              <w:left w:w="80" w:type="dxa"/>
              <w:right w:w="80" w:type="dxa"/>
            </w:tcMar>
          </w:tcPr>
          <w:p>
            <w:r>
              <w:rPr>
                <w:rFonts w:ascii="Calibri" w:hAnsi="Calibri"/>
                <w:sz w:val="18"/>
              </w:rPr>
              <w:t>109.780</w:t>
            </w:r>
          </w:p>
        </w:tc>
        <w:tc>
          <w:tcPr>
            <w:tcW w:type="dxa" w:w="2340"/>
            <w:shd w:fill="FFFFFF"/>
            <w:tcMar>
              <w:top w:w="50" w:type="dxa"/>
              <w:bottom w:w="50" w:type="dxa"/>
              <w:left w:w="80" w:type="dxa"/>
              <w:right w:w="80" w:type="dxa"/>
            </w:tcMar>
          </w:tcPr>
          <w:p>
            <w:r>
              <w:rPr>
                <w:rFonts w:ascii="Calibri" w:hAnsi="Calibri"/>
                <w:sz w:val="18"/>
              </w:rPr>
              <w:t>m</w:t>
            </w:r>
          </w:p>
        </w:tc>
      </w:tr>
      <w:tr>
        <w:tc>
          <w:tcPr>
            <w:tcW w:type="dxa" w:w="2340"/>
            <w:shd w:fill="F2F5F8"/>
            <w:tcMar>
              <w:top w:w="50" w:type="dxa"/>
              <w:bottom w:w="50" w:type="dxa"/>
              <w:left w:w="80" w:type="dxa"/>
              <w:right w:w="80" w:type="dxa"/>
            </w:tcMar>
          </w:tcPr>
          <w:p>
            <w:r>
              <w:rPr>
                <w:rFonts w:ascii="Calibri" w:hAnsi="Calibri"/>
                <w:sz w:val="18"/>
              </w:rPr>
              <w:t>Total Topographic Relief (ΔZ)</w:t>
            </w:r>
          </w:p>
        </w:tc>
        <w:tc>
          <w:tcPr>
            <w:tcW w:type="dxa" w:w="2340"/>
            <w:shd w:fill="F2F5F8"/>
            <w:tcMar>
              <w:top w:w="50" w:type="dxa"/>
              <w:bottom w:w="50" w:type="dxa"/>
              <w:left w:w="80" w:type="dxa"/>
              <w:right w:w="80" w:type="dxa"/>
            </w:tcMar>
          </w:tcPr>
          <w:p>
            <w:r>
              <w:rPr>
                <w:rFonts w:ascii="Calibri" w:hAnsi="Calibri"/>
                <w:sz w:val="18"/>
              </w:rPr>
              <w:t>6.577</w:t>
            </w:r>
          </w:p>
        </w:tc>
        <w:tc>
          <w:tcPr>
            <w:tcW w:type="dxa" w:w="2340"/>
            <w:shd w:fill="F2F5F8"/>
            <w:tcMar>
              <w:top w:w="50" w:type="dxa"/>
              <w:bottom w:w="50" w:type="dxa"/>
              <w:left w:w="80" w:type="dxa"/>
              <w:right w:w="80" w:type="dxa"/>
            </w:tcMar>
          </w:tcPr>
          <w:p>
            <w:r>
              <w:rPr>
                <w:rFonts w:ascii="Calibri" w:hAnsi="Calibri"/>
                <w:sz w:val="18"/>
              </w:rPr>
              <w:t>6.626</w:t>
            </w:r>
          </w:p>
        </w:tc>
        <w:tc>
          <w:tcPr>
            <w:tcW w:type="dxa" w:w="2340"/>
            <w:shd w:fill="F2F5F8"/>
            <w:tcMar>
              <w:top w:w="50" w:type="dxa"/>
              <w:bottom w:w="50" w:type="dxa"/>
              <w:left w:w="80" w:type="dxa"/>
              <w:right w:w="80" w:type="dxa"/>
            </w:tcMar>
          </w:tcPr>
          <w:p>
            <w:r>
              <w:rPr>
                <w:rFonts w:ascii="Calibri" w:hAnsi="Calibri"/>
                <w:sz w:val="18"/>
              </w:rPr>
              <w:t>m</w:t>
            </w:r>
          </w:p>
        </w:tc>
      </w:tr>
      <w:tr>
        <w:tc>
          <w:tcPr>
            <w:tcW w:type="dxa" w:w="2340"/>
            <w:shd w:fill="FFFFFF"/>
            <w:tcMar>
              <w:top w:w="50" w:type="dxa"/>
              <w:bottom w:w="50" w:type="dxa"/>
              <w:left w:w="80" w:type="dxa"/>
              <w:right w:w="80" w:type="dxa"/>
            </w:tcMar>
          </w:tcPr>
          <w:p>
            <w:r>
              <w:rPr>
                <w:rFonts w:ascii="Calibri" w:hAnsi="Calibri"/>
                <w:sz w:val="18"/>
              </w:rPr>
              <w:t>Mean Elevation (μ_Z)</w:t>
            </w:r>
          </w:p>
        </w:tc>
        <w:tc>
          <w:tcPr>
            <w:tcW w:type="dxa" w:w="2340"/>
            <w:shd w:fill="FFFFFF"/>
            <w:tcMar>
              <w:top w:w="50" w:type="dxa"/>
              <w:bottom w:w="50" w:type="dxa"/>
              <w:left w:w="80" w:type="dxa"/>
              <w:right w:w="80" w:type="dxa"/>
            </w:tcMar>
          </w:tcPr>
          <w:p>
            <w:r>
              <w:rPr>
                <w:rFonts w:ascii="Calibri" w:hAnsi="Calibri"/>
                <w:sz w:val="18"/>
              </w:rPr>
              <w:t>107.171</w:t>
            </w:r>
          </w:p>
        </w:tc>
        <w:tc>
          <w:tcPr>
            <w:tcW w:type="dxa" w:w="2340"/>
            <w:shd w:fill="FFFFFF"/>
            <w:tcMar>
              <w:top w:w="50" w:type="dxa"/>
              <w:bottom w:w="50" w:type="dxa"/>
              <w:left w:w="80" w:type="dxa"/>
              <w:right w:w="80" w:type="dxa"/>
            </w:tcMar>
          </w:tcPr>
          <w:p>
            <w:r>
              <w:rPr>
                <w:rFonts w:ascii="Calibri" w:hAnsi="Calibri"/>
                <w:sz w:val="18"/>
              </w:rPr>
              <w:t>106.808</w:t>
            </w:r>
          </w:p>
        </w:tc>
        <w:tc>
          <w:tcPr>
            <w:tcW w:type="dxa" w:w="2340"/>
            <w:shd w:fill="FFFFFF"/>
            <w:tcMar>
              <w:top w:w="50" w:type="dxa"/>
              <w:bottom w:w="50" w:type="dxa"/>
              <w:left w:w="80" w:type="dxa"/>
              <w:right w:w="80" w:type="dxa"/>
            </w:tcMar>
          </w:tcPr>
          <w:p>
            <w:r>
              <w:rPr>
                <w:rFonts w:ascii="Calibri" w:hAnsi="Calibri"/>
                <w:sz w:val="18"/>
              </w:rPr>
              <w:t>m</w:t>
            </w:r>
          </w:p>
        </w:tc>
      </w:tr>
      <w:tr>
        <w:tc>
          <w:tcPr>
            <w:tcW w:type="dxa" w:w="2340"/>
            <w:shd w:fill="F2F5F8"/>
            <w:tcMar>
              <w:top w:w="50" w:type="dxa"/>
              <w:bottom w:w="50" w:type="dxa"/>
              <w:left w:w="80" w:type="dxa"/>
              <w:right w:w="80" w:type="dxa"/>
            </w:tcMar>
          </w:tcPr>
          <w:p>
            <w:r>
              <w:rPr>
                <w:rFonts w:ascii="Calibri" w:hAnsi="Calibri"/>
                <w:sz w:val="18"/>
              </w:rPr>
              <w:t>Standard Deviation (σ_Z)</w:t>
            </w:r>
          </w:p>
        </w:tc>
        <w:tc>
          <w:tcPr>
            <w:tcW w:type="dxa" w:w="2340"/>
            <w:shd w:fill="F2F5F8"/>
            <w:tcMar>
              <w:top w:w="50" w:type="dxa"/>
              <w:bottom w:w="50" w:type="dxa"/>
              <w:left w:w="80" w:type="dxa"/>
              <w:right w:w="80" w:type="dxa"/>
            </w:tcMar>
          </w:tcPr>
          <w:p>
            <w:r>
              <w:rPr>
                <w:rFonts w:ascii="Calibri" w:hAnsi="Calibri"/>
                <w:sz w:val="18"/>
              </w:rPr>
              <w:t>1.598</w:t>
            </w:r>
          </w:p>
        </w:tc>
        <w:tc>
          <w:tcPr>
            <w:tcW w:type="dxa" w:w="2340"/>
            <w:shd w:fill="F2F5F8"/>
            <w:tcMar>
              <w:top w:w="50" w:type="dxa"/>
              <w:bottom w:w="50" w:type="dxa"/>
              <w:left w:w="80" w:type="dxa"/>
              <w:right w:w="80" w:type="dxa"/>
            </w:tcMar>
          </w:tcPr>
          <w:p>
            <w:r>
              <w:rPr>
                <w:rFonts w:ascii="Calibri" w:hAnsi="Calibri"/>
                <w:sz w:val="18"/>
              </w:rPr>
              <w:t>1.762</w:t>
            </w:r>
          </w:p>
        </w:tc>
        <w:tc>
          <w:tcPr>
            <w:tcW w:type="dxa" w:w="2340"/>
            <w:shd w:fill="F2F5F8"/>
            <w:tcMar>
              <w:top w:w="50" w:type="dxa"/>
              <w:bottom w:w="50" w:type="dxa"/>
              <w:left w:w="80" w:type="dxa"/>
              <w:right w:w="80" w:type="dxa"/>
            </w:tcMar>
          </w:tcPr>
          <w:p>
            <w:r>
              <w:rPr>
                <w:rFonts w:ascii="Calibri" w:hAnsi="Calibri"/>
                <w:sz w:val="18"/>
              </w:rPr>
              <w:t>m</w:t>
            </w:r>
          </w:p>
        </w:tc>
      </w:tr>
      <w:tr>
        <w:tc>
          <w:tcPr>
            <w:tcW w:type="dxa" w:w="2340"/>
            <w:shd w:fill="FFFFFF"/>
            <w:tcMar>
              <w:top w:w="50" w:type="dxa"/>
              <w:bottom w:w="50" w:type="dxa"/>
              <w:left w:w="80" w:type="dxa"/>
              <w:right w:w="80" w:type="dxa"/>
            </w:tcMar>
          </w:tcPr>
          <w:p>
            <w:r>
              <w:rPr>
                <w:rFonts w:ascii="Calibri" w:hAnsi="Calibri"/>
                <w:sz w:val="18"/>
              </w:rPr>
              <w:t>Variance (σ²)</w:t>
            </w:r>
          </w:p>
        </w:tc>
        <w:tc>
          <w:tcPr>
            <w:tcW w:type="dxa" w:w="2340"/>
            <w:shd w:fill="FFFFFF"/>
            <w:tcMar>
              <w:top w:w="50" w:type="dxa"/>
              <w:bottom w:w="50" w:type="dxa"/>
              <w:left w:w="80" w:type="dxa"/>
              <w:right w:w="80" w:type="dxa"/>
            </w:tcMar>
          </w:tcPr>
          <w:p>
            <w:r>
              <w:rPr>
                <w:rFonts w:ascii="Calibri" w:hAnsi="Calibri"/>
                <w:sz w:val="18"/>
              </w:rPr>
              <w:t>2.554</w:t>
            </w:r>
          </w:p>
        </w:tc>
        <w:tc>
          <w:tcPr>
            <w:tcW w:type="dxa" w:w="2340"/>
            <w:shd w:fill="FFFFFF"/>
            <w:tcMar>
              <w:top w:w="50" w:type="dxa"/>
              <w:bottom w:w="50" w:type="dxa"/>
              <w:left w:w="80" w:type="dxa"/>
              <w:right w:w="80" w:type="dxa"/>
            </w:tcMar>
          </w:tcPr>
          <w:p>
            <w:r>
              <w:rPr>
                <w:rFonts w:ascii="Calibri" w:hAnsi="Calibri"/>
                <w:sz w:val="18"/>
              </w:rPr>
              <w:t>3.103</w:t>
            </w:r>
          </w:p>
        </w:tc>
        <w:tc>
          <w:tcPr>
            <w:tcW w:type="dxa" w:w="2340"/>
            <w:shd w:fill="FFFFFF"/>
            <w:tcMar>
              <w:top w:w="50" w:type="dxa"/>
              <w:bottom w:w="50" w:type="dxa"/>
              <w:left w:w="80" w:type="dxa"/>
              <w:right w:w="80" w:type="dxa"/>
            </w:tcMar>
          </w:tcPr>
          <w:p>
            <w:r>
              <w:rPr>
                <w:rFonts w:ascii="Calibri" w:hAnsi="Calibri"/>
                <w:sz w:val="18"/>
              </w:rPr>
              <w:t>m²</w:t>
            </w:r>
          </w:p>
        </w:tc>
      </w:tr>
      <w:tr>
        <w:tc>
          <w:tcPr>
            <w:tcW w:type="dxa" w:w="2340"/>
            <w:shd w:fill="F2F5F8"/>
            <w:tcMar>
              <w:top w:w="50" w:type="dxa"/>
              <w:bottom w:w="50" w:type="dxa"/>
              <w:left w:w="80" w:type="dxa"/>
              <w:right w:w="80" w:type="dxa"/>
            </w:tcMar>
          </w:tcPr>
          <w:p>
            <w:r>
              <w:rPr>
                <w:rFonts w:ascii="Calibri" w:hAnsi="Calibri"/>
                <w:sz w:val="18"/>
              </w:rPr>
              <w:t>Skewness (S_k)</w:t>
            </w:r>
          </w:p>
        </w:tc>
        <w:tc>
          <w:tcPr>
            <w:tcW w:type="dxa" w:w="2340"/>
            <w:shd w:fill="F2F5F8"/>
            <w:tcMar>
              <w:top w:w="50" w:type="dxa"/>
              <w:bottom w:w="50" w:type="dxa"/>
              <w:left w:w="80" w:type="dxa"/>
              <w:right w:w="80" w:type="dxa"/>
            </w:tcMar>
          </w:tcPr>
          <w:p>
            <w:r>
              <w:rPr>
                <w:rFonts w:ascii="Calibri" w:hAnsi="Calibri"/>
                <w:sz w:val="18"/>
              </w:rPr>
              <w:t>-0.561</w:t>
            </w:r>
          </w:p>
        </w:tc>
        <w:tc>
          <w:tcPr>
            <w:tcW w:type="dxa" w:w="2340"/>
            <w:shd w:fill="F2F5F8"/>
            <w:tcMar>
              <w:top w:w="50" w:type="dxa"/>
              <w:bottom w:w="50" w:type="dxa"/>
              <w:left w:w="80" w:type="dxa"/>
              <w:right w:w="80" w:type="dxa"/>
            </w:tcMar>
          </w:tcPr>
          <w:p>
            <w:r>
              <w:rPr>
                <w:rFonts w:ascii="Calibri" w:hAnsi="Calibri"/>
                <w:sz w:val="18"/>
              </w:rPr>
              <w:t>-0.294</w:t>
            </w:r>
          </w:p>
        </w:tc>
        <w:tc>
          <w:tcPr>
            <w:tcW w:type="dxa" w:w="2340"/>
            <w:shd w:fill="F2F5F8"/>
            <w:tcMar>
              <w:top w:w="50" w:type="dxa"/>
              <w:bottom w:w="50" w:type="dxa"/>
              <w:left w:w="80" w:type="dxa"/>
              <w:right w:w="80" w:type="dxa"/>
            </w:tcMar>
          </w:tcPr>
          <w:p>
            <w:r>
              <w:rPr>
                <w:rFonts w:ascii="Calibri" w:hAnsi="Calibri"/>
                <w:sz w:val="18"/>
              </w:rPr>
              <w:t>dimensionless</w:t>
            </w:r>
          </w:p>
        </w:tc>
      </w:tr>
      <w:tr>
        <w:tc>
          <w:tcPr>
            <w:tcW w:type="dxa" w:w="2340"/>
            <w:shd w:fill="FFFFFF"/>
            <w:tcMar>
              <w:top w:w="50" w:type="dxa"/>
              <w:bottom w:w="50" w:type="dxa"/>
              <w:left w:w="80" w:type="dxa"/>
              <w:right w:w="80" w:type="dxa"/>
            </w:tcMar>
          </w:tcPr>
          <w:p>
            <w:r>
              <w:rPr>
                <w:rFonts w:ascii="Calibri" w:hAnsi="Calibri"/>
                <w:sz w:val="18"/>
              </w:rPr>
              <w:t>Kurtosis (K)</w:t>
            </w:r>
          </w:p>
        </w:tc>
        <w:tc>
          <w:tcPr>
            <w:tcW w:type="dxa" w:w="2340"/>
            <w:shd w:fill="FFFFFF"/>
            <w:tcMar>
              <w:top w:w="50" w:type="dxa"/>
              <w:bottom w:w="50" w:type="dxa"/>
              <w:left w:w="80" w:type="dxa"/>
              <w:right w:w="80" w:type="dxa"/>
            </w:tcMar>
          </w:tcPr>
          <w:p>
            <w:r>
              <w:rPr>
                <w:rFonts w:ascii="Calibri" w:hAnsi="Calibri"/>
                <w:sz w:val="18"/>
              </w:rPr>
              <w:t>2.402</w:t>
            </w:r>
          </w:p>
        </w:tc>
        <w:tc>
          <w:tcPr>
            <w:tcW w:type="dxa" w:w="2340"/>
            <w:shd w:fill="FFFFFF"/>
            <w:tcMar>
              <w:top w:w="50" w:type="dxa"/>
              <w:bottom w:w="50" w:type="dxa"/>
              <w:left w:w="80" w:type="dxa"/>
              <w:right w:w="80" w:type="dxa"/>
            </w:tcMar>
          </w:tcPr>
          <w:p>
            <w:r>
              <w:rPr>
                <w:rFonts w:ascii="Calibri" w:hAnsi="Calibri"/>
                <w:sz w:val="18"/>
              </w:rPr>
              <w:t>1.955</w:t>
            </w:r>
          </w:p>
        </w:tc>
        <w:tc>
          <w:tcPr>
            <w:tcW w:type="dxa" w:w="2340"/>
            <w:shd w:fill="FFFFFF"/>
            <w:tcMar>
              <w:top w:w="50" w:type="dxa"/>
              <w:bottom w:w="50" w:type="dxa"/>
              <w:left w:w="80" w:type="dxa"/>
              <w:right w:w="80" w:type="dxa"/>
            </w:tcMar>
          </w:tcPr>
          <w:p>
            <w:r>
              <w:rPr>
                <w:rFonts w:ascii="Calibri" w:hAnsi="Calibri"/>
                <w:sz w:val="18"/>
              </w:rPr>
              <w:t>dimensionless</w:t>
            </w:r>
          </w:p>
        </w:tc>
      </w:tr>
    </w:tbl>
    <w:p>
      <w:pPr>
        <w:spacing w:after="120"/>
      </w:pPr>
    </w:p>
    <w:p>
      <w:pPr>
        <w:keepNext/>
        <w:spacing w:before="200" w:after="60"/>
      </w:pPr>
      <w:r>
        <w:rPr>
          <w:rFonts w:ascii="Calibri" w:hAnsi="Calibri"/>
          <w:b/>
          <w:color w:val="284B78"/>
          <w:sz w:val="24"/>
        </w:rPr>
        <w:t>4.1 Planar Trend Surface Regression</w:t>
      </w:r>
    </w:p>
    <w:p>
      <w:pPr>
        <w:spacing w:after="80" w:line="276" w:lineRule="auto"/>
      </w:pPr>
      <w:r>
        <w:rPr>
          <w:rFonts w:ascii="Calibri" w:hAnsi="Calibri"/>
          <w:sz w:val="22"/>
        </w:rPr>
        <w:t>Bivariate planar regression resulted in the fitted model: Z(X, Y) = -3271.625·X + 146.542·Y + 257728.247. The ANOVA regression metrics are:</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80" w:type="dxa"/>
              <w:bottom w:w="80" w:type="dxa"/>
              <w:left w:w="100" w:type="dxa"/>
              <w:right w:w="100" w:type="dxa"/>
            </w:tcMar>
          </w:tcPr>
          <w:p>
            <w:r>
              <w:rPr>
                <w:rFonts w:ascii="Calibri" w:hAnsi="Calibri"/>
                <w:b/>
                <w:color w:val="FFFFFF"/>
                <w:sz w:val="19"/>
              </w:rPr>
              <w:t>Source of Variation</w:t>
            </w:r>
          </w:p>
        </w:tc>
        <w:tc>
          <w:tcPr>
            <w:tcW w:type="dxa" w:w="2340"/>
            <w:shd w:fill="1F497D"/>
            <w:tcMar>
              <w:top w:w="80" w:type="dxa"/>
              <w:bottom w:w="80" w:type="dxa"/>
              <w:left w:w="100" w:type="dxa"/>
              <w:right w:w="100" w:type="dxa"/>
            </w:tcMar>
          </w:tcPr>
          <w:p>
            <w:r>
              <w:rPr>
                <w:rFonts w:ascii="Calibri" w:hAnsi="Calibri"/>
                <w:b/>
                <w:color w:val="FFFFFF"/>
                <w:sz w:val="19"/>
              </w:rPr>
              <w:t>Degrees of Freedom (df)</w:t>
            </w:r>
          </w:p>
        </w:tc>
        <w:tc>
          <w:tcPr>
            <w:tcW w:type="dxa" w:w="2340"/>
            <w:shd w:fill="1F497D"/>
            <w:tcMar>
              <w:top w:w="80" w:type="dxa"/>
              <w:bottom w:w="80" w:type="dxa"/>
              <w:left w:w="100" w:type="dxa"/>
              <w:right w:w="100" w:type="dxa"/>
            </w:tcMar>
          </w:tcPr>
          <w:p>
            <w:r>
              <w:rPr>
                <w:rFonts w:ascii="Calibri" w:hAnsi="Calibri"/>
                <w:b/>
                <w:color w:val="FFFFFF"/>
                <w:sz w:val="19"/>
              </w:rPr>
              <w:t>Sum of Squares (SS)</w:t>
            </w:r>
          </w:p>
        </w:tc>
        <w:tc>
          <w:tcPr>
            <w:tcW w:type="dxa" w:w="2340"/>
            <w:shd w:fill="1F497D"/>
            <w:tcMar>
              <w:top w:w="80" w:type="dxa"/>
              <w:bottom w:w="80" w:type="dxa"/>
              <w:left w:w="100" w:type="dxa"/>
              <w:right w:w="100" w:type="dxa"/>
            </w:tcMar>
          </w:tcPr>
          <w:p>
            <w:r>
              <w:rPr>
                <w:rFonts w:ascii="Calibri" w:hAnsi="Calibri"/>
                <w:b/>
                <w:color w:val="FFFFFF"/>
                <w:sz w:val="19"/>
              </w:rPr>
              <w:t>Mean Square (MS)</w:t>
            </w:r>
          </w:p>
        </w:tc>
      </w:tr>
      <w:tr>
        <w:tc>
          <w:tcPr>
            <w:tcW w:type="dxa" w:w="2340"/>
            <w:shd w:fill="FFFFFF"/>
            <w:tcMar>
              <w:top w:w="50" w:type="dxa"/>
              <w:bottom w:w="50" w:type="dxa"/>
              <w:left w:w="80" w:type="dxa"/>
              <w:right w:w="80" w:type="dxa"/>
            </w:tcMar>
          </w:tcPr>
          <w:p>
            <w:r>
              <w:rPr>
                <w:rFonts w:ascii="Calibri" w:hAnsi="Calibri"/>
                <w:sz w:val="18"/>
              </w:rPr>
              <w:t>Regression Model</w:t>
            </w:r>
          </w:p>
        </w:tc>
        <w:tc>
          <w:tcPr>
            <w:tcW w:type="dxa" w:w="2340"/>
            <w:shd w:fill="FFFFFF"/>
            <w:tcMar>
              <w:top w:w="50" w:type="dxa"/>
              <w:bottom w:w="50" w:type="dxa"/>
              <w:left w:w="80" w:type="dxa"/>
              <w:right w:w="80" w:type="dxa"/>
            </w:tcMar>
          </w:tcPr>
          <w:p>
            <w:r>
              <w:rPr>
                <w:rFonts w:ascii="Calibri" w:hAnsi="Calibri"/>
                <w:sz w:val="18"/>
              </w:rPr>
              <w:t>2</w:t>
            </w:r>
          </w:p>
        </w:tc>
        <w:tc>
          <w:tcPr>
            <w:tcW w:type="dxa" w:w="2340"/>
            <w:shd w:fill="FFFFFF"/>
            <w:tcMar>
              <w:top w:w="50" w:type="dxa"/>
              <w:bottom w:w="50" w:type="dxa"/>
              <w:left w:w="80" w:type="dxa"/>
              <w:right w:w="80" w:type="dxa"/>
            </w:tcMar>
          </w:tcPr>
          <w:p>
            <w:r>
              <w:rPr>
                <w:rFonts w:ascii="Calibri" w:hAnsi="Calibri"/>
                <w:sz w:val="18"/>
              </w:rPr>
              <w:t>306.524</w:t>
            </w:r>
          </w:p>
        </w:tc>
        <w:tc>
          <w:tcPr>
            <w:tcW w:type="dxa" w:w="2340"/>
            <w:shd w:fill="FFFFFF"/>
            <w:tcMar>
              <w:top w:w="50" w:type="dxa"/>
              <w:bottom w:w="50" w:type="dxa"/>
              <w:left w:w="80" w:type="dxa"/>
              <w:right w:w="80" w:type="dxa"/>
            </w:tcMar>
          </w:tcPr>
          <w:p>
            <w:r>
              <w:rPr>
                <w:rFonts w:ascii="Calibri" w:hAnsi="Calibri"/>
                <w:sz w:val="18"/>
              </w:rPr>
              <w:t>153.262</w:t>
            </w:r>
          </w:p>
        </w:tc>
      </w:tr>
      <w:tr>
        <w:tc>
          <w:tcPr>
            <w:tcW w:type="dxa" w:w="2340"/>
            <w:shd w:fill="F2F5F8"/>
            <w:tcMar>
              <w:top w:w="50" w:type="dxa"/>
              <w:bottom w:w="50" w:type="dxa"/>
              <w:left w:w="80" w:type="dxa"/>
              <w:right w:w="80" w:type="dxa"/>
            </w:tcMar>
          </w:tcPr>
          <w:p>
            <w:r>
              <w:rPr>
                <w:rFonts w:ascii="Calibri" w:hAnsi="Calibri"/>
                <w:sz w:val="18"/>
              </w:rPr>
              <w:t>Residual Error</w:t>
            </w:r>
          </w:p>
        </w:tc>
        <w:tc>
          <w:tcPr>
            <w:tcW w:type="dxa" w:w="2340"/>
            <w:shd w:fill="F2F5F8"/>
            <w:tcMar>
              <w:top w:w="50" w:type="dxa"/>
              <w:bottom w:w="50" w:type="dxa"/>
              <w:left w:w="80" w:type="dxa"/>
              <w:right w:w="80" w:type="dxa"/>
            </w:tcMar>
          </w:tcPr>
          <w:p>
            <w:r>
              <w:rPr>
                <w:rFonts w:ascii="Calibri" w:hAnsi="Calibri"/>
                <w:sz w:val="18"/>
              </w:rPr>
              <w:t>133</w:t>
            </w:r>
          </w:p>
        </w:tc>
        <w:tc>
          <w:tcPr>
            <w:tcW w:type="dxa" w:w="2340"/>
            <w:shd w:fill="F2F5F8"/>
            <w:tcMar>
              <w:top w:w="50" w:type="dxa"/>
              <w:bottom w:w="50" w:type="dxa"/>
              <w:left w:w="80" w:type="dxa"/>
              <w:right w:w="80" w:type="dxa"/>
            </w:tcMar>
          </w:tcPr>
          <w:p>
            <w:r>
              <w:rPr>
                <w:rFonts w:ascii="Calibri" w:hAnsi="Calibri"/>
                <w:sz w:val="18"/>
              </w:rPr>
              <w:t>38.249</w:t>
            </w:r>
          </w:p>
        </w:tc>
        <w:tc>
          <w:tcPr>
            <w:tcW w:type="dxa" w:w="2340"/>
            <w:shd w:fill="F2F5F8"/>
            <w:tcMar>
              <w:top w:w="50" w:type="dxa"/>
              <w:bottom w:w="50" w:type="dxa"/>
              <w:left w:w="80" w:type="dxa"/>
              <w:right w:w="80" w:type="dxa"/>
            </w:tcMar>
          </w:tcPr>
          <w:p>
            <w:r>
              <w:rPr>
                <w:rFonts w:ascii="Calibri" w:hAnsi="Calibri"/>
                <w:sz w:val="18"/>
              </w:rPr>
              <w:t>0.288</w:t>
            </w:r>
          </w:p>
        </w:tc>
      </w:tr>
      <w:tr>
        <w:tc>
          <w:tcPr>
            <w:tcW w:type="dxa" w:w="2340"/>
            <w:shd w:fill="FFFFFF"/>
            <w:tcMar>
              <w:top w:w="50" w:type="dxa"/>
              <w:bottom w:w="50" w:type="dxa"/>
              <w:left w:w="80" w:type="dxa"/>
              <w:right w:w="80" w:type="dxa"/>
            </w:tcMar>
          </w:tcPr>
          <w:p>
            <w:r>
              <w:rPr>
                <w:rFonts w:ascii="Calibri" w:hAnsi="Calibri"/>
                <w:sz w:val="18"/>
              </w:rPr>
              <w:t>Total Variation</w:t>
            </w:r>
          </w:p>
        </w:tc>
        <w:tc>
          <w:tcPr>
            <w:tcW w:type="dxa" w:w="2340"/>
            <w:shd w:fill="FFFFFF"/>
            <w:tcMar>
              <w:top w:w="50" w:type="dxa"/>
              <w:bottom w:w="50" w:type="dxa"/>
              <w:left w:w="80" w:type="dxa"/>
              <w:right w:w="80" w:type="dxa"/>
            </w:tcMar>
          </w:tcPr>
          <w:p>
            <w:r>
              <w:rPr>
                <w:rFonts w:ascii="Calibri" w:hAnsi="Calibri"/>
                <w:sz w:val="18"/>
              </w:rPr>
              <w:t>135</w:t>
            </w:r>
          </w:p>
        </w:tc>
        <w:tc>
          <w:tcPr>
            <w:tcW w:type="dxa" w:w="2340"/>
            <w:shd w:fill="FFFFFF"/>
            <w:tcMar>
              <w:top w:w="50" w:type="dxa"/>
              <w:bottom w:w="50" w:type="dxa"/>
              <w:left w:w="80" w:type="dxa"/>
              <w:right w:w="80" w:type="dxa"/>
            </w:tcMar>
          </w:tcPr>
          <w:p>
            <w:r>
              <w:rPr>
                <w:rFonts w:ascii="Calibri" w:hAnsi="Calibri"/>
                <w:sz w:val="18"/>
              </w:rPr>
              <w:t>344.773</w:t>
            </w:r>
          </w:p>
        </w:tc>
        <w:tc>
          <w:tcPr>
            <w:tcW w:type="dxa" w:w="2340"/>
            <w:shd w:fill="FFFFFF"/>
            <w:tcMar>
              <w:top w:w="50" w:type="dxa"/>
              <w:bottom w:w="50" w:type="dxa"/>
              <w:left w:w="80" w:type="dxa"/>
              <w:right w:w="80" w:type="dxa"/>
            </w:tcMar>
          </w:tcPr>
          <w:p>
            <w:r>
              <w:rPr>
                <w:rFonts w:ascii="Calibri" w:hAnsi="Calibri"/>
                <w:sz w:val="18"/>
              </w:rPr>
              <w:t>—</w:t>
            </w:r>
          </w:p>
        </w:tc>
      </w:tr>
      <w:tr>
        <w:tc>
          <w:tcPr>
            <w:tcW w:type="dxa" w:w="2340"/>
            <w:shd w:fill="F2F5F8"/>
            <w:tcMar>
              <w:top w:w="50" w:type="dxa"/>
              <w:bottom w:w="50" w:type="dxa"/>
              <w:left w:w="80" w:type="dxa"/>
              <w:right w:w="80" w:type="dxa"/>
            </w:tcMar>
          </w:tcPr>
          <w:p>
            <w:r>
              <w:rPr>
                <w:rFonts w:ascii="Calibri" w:hAnsi="Calibri"/>
                <w:sz w:val="18"/>
              </w:rPr>
              <w:t>ANOVA F-Statistic</w:t>
            </w:r>
          </w:p>
        </w:tc>
        <w:tc>
          <w:tcPr>
            <w:tcW w:type="dxa" w:w="2340"/>
            <w:shd w:fill="F2F5F8"/>
            <w:tcMar>
              <w:top w:w="50" w:type="dxa"/>
              <w:bottom w:w="50" w:type="dxa"/>
              <w:left w:w="80" w:type="dxa"/>
              <w:right w:w="80" w:type="dxa"/>
            </w:tcMar>
          </w:tcPr>
          <w:p>
            <w:r>
              <w:rPr>
                <w:rFonts w:ascii="Calibri" w:hAnsi="Calibri"/>
                <w:b/>
                <w:sz w:val="18"/>
              </w:rPr>
              <w:t>F = 532.932</w:t>
            </w:r>
          </w:p>
        </w:tc>
        <w:tc>
          <w:tcPr>
            <w:tcW w:type="dxa" w:w="2340"/>
            <w:shd w:fill="F2F5F8"/>
            <w:tcMar>
              <w:top w:w="50" w:type="dxa"/>
              <w:bottom w:w="50" w:type="dxa"/>
              <w:left w:w="80" w:type="dxa"/>
              <w:right w:w="80" w:type="dxa"/>
            </w:tcMar>
          </w:tcPr>
          <w:p>
            <w:r>
              <w:rPr>
                <w:rFonts w:ascii="Calibri" w:hAnsi="Calibri"/>
                <w:sz w:val="18"/>
              </w:rPr>
              <w:t>p &lt; 1.0 x 10⁻¹⁵</w:t>
            </w:r>
          </w:p>
        </w:tc>
        <w:tc>
          <w:tcPr>
            <w:tcW w:type="dxa" w:w="2340"/>
            <w:shd w:fill="F2F5F8"/>
            <w:tcMar>
              <w:top w:w="50" w:type="dxa"/>
              <w:bottom w:w="50" w:type="dxa"/>
              <w:left w:w="80" w:type="dxa"/>
              <w:right w:w="80" w:type="dxa"/>
            </w:tcMar>
          </w:tcPr>
          <w:p>
            <w:r>
              <w:rPr>
                <w:rFonts w:ascii="Calibri" w:hAnsi="Calibri"/>
                <w:sz w:val="18"/>
              </w:rPr>
              <w:t>Statistically Significant</w:t>
            </w:r>
          </w:p>
        </w:tc>
      </w:tr>
      <w:tr>
        <w:tc>
          <w:tcPr>
            <w:tcW w:type="dxa" w:w="2340"/>
            <w:shd w:fill="FFFFFF"/>
            <w:tcMar>
              <w:top w:w="50" w:type="dxa"/>
              <w:bottom w:w="50" w:type="dxa"/>
              <w:left w:w="80" w:type="dxa"/>
              <w:right w:w="80" w:type="dxa"/>
            </w:tcMar>
          </w:tcPr>
          <w:p>
            <w:r>
              <w:rPr>
                <w:rFonts w:ascii="Calibri" w:hAnsi="Calibri"/>
                <w:sz w:val="18"/>
              </w:rPr>
              <w:t>Coefficient of Determination</w:t>
            </w:r>
          </w:p>
        </w:tc>
        <w:tc>
          <w:tcPr>
            <w:tcW w:type="dxa" w:w="2340"/>
            <w:shd w:fill="FFFFFF"/>
            <w:tcMar>
              <w:top w:w="50" w:type="dxa"/>
              <w:bottom w:w="50" w:type="dxa"/>
              <w:left w:w="80" w:type="dxa"/>
              <w:right w:w="80" w:type="dxa"/>
            </w:tcMar>
          </w:tcPr>
          <w:p>
            <w:r>
              <w:rPr>
                <w:rFonts w:ascii="Calibri" w:hAnsi="Calibri"/>
                <w:b/>
                <w:sz w:val="18"/>
              </w:rPr>
              <w:t>R² = 0.8891</w:t>
            </w:r>
          </w:p>
        </w:tc>
        <w:tc>
          <w:tcPr>
            <w:tcW w:type="dxa" w:w="2340"/>
            <w:shd w:fill="FFFFFF"/>
            <w:tcMar>
              <w:top w:w="50" w:type="dxa"/>
              <w:bottom w:w="50" w:type="dxa"/>
              <w:left w:w="80" w:type="dxa"/>
              <w:right w:w="80" w:type="dxa"/>
            </w:tcMar>
          </w:tcPr>
          <w:p>
            <w:r>
              <w:rPr>
                <w:rFonts w:ascii="Calibri" w:hAnsi="Calibri"/>
                <w:sz w:val="18"/>
              </w:rPr>
              <w:t>88.91% Explained</w:t>
            </w:r>
          </w:p>
        </w:tc>
        <w:tc>
          <w:tcPr>
            <w:tcW w:type="dxa" w:w="2340"/>
            <w:shd w:fill="FFFFFF"/>
            <w:tcMar>
              <w:top w:w="50" w:type="dxa"/>
              <w:bottom w:w="50" w:type="dxa"/>
              <w:left w:w="80" w:type="dxa"/>
              <w:right w:w="80" w:type="dxa"/>
            </w:tcMar>
          </w:tcPr>
          <w:p>
            <w:r>
              <w:rPr>
                <w:rFonts w:ascii="Calibri" w:hAnsi="Calibri"/>
                <w:b/>
                <w:sz w:val="18"/>
              </w:rPr>
              <w:t>Adjusted R² = 0.8874</w:t>
            </w:r>
          </w:p>
        </w:tc>
      </w:tr>
    </w:tbl>
    <w:p>
      <w:pPr>
        <w:spacing w:after="120"/>
      </w:pPr>
    </w:p>
    <w:p>
      <w:pPr>
        <w:keepNext/>
        <w:spacing w:before="280" w:after="80"/>
      </w:pPr>
      <w:r>
        <w:rPr>
          <w:rFonts w:ascii="Calibri" w:hAnsi="Calibri"/>
          <w:b/>
          <w:color w:val="0F2D5A"/>
          <w:sz w:val="28"/>
        </w:rPr>
        <w:t>5. Engineering Significance &amp; Limitations</w:t>
      </w:r>
    </w:p>
    <w:p>
      <w:pPr>
        <w:spacing w:after="80" w:line="276" w:lineRule="auto"/>
      </w:pPr>
      <w:r>
        <w:rPr>
          <w:rFonts w:ascii="Calibri" w:hAnsi="Calibri"/>
          <w:sz w:val="22"/>
        </w:rPr>
        <w:t>1. Bench &amp; Haul Road Alignment: The natural slope of 3.38% (dropping eastward) permits straight-line haul road ramps that comfortably satisfy DGMS statutory maximum gradient limits (1 in 10 or 10%).</w:t>
      </w:r>
    </w:p>
    <w:p>
      <w:pPr>
        <w:spacing w:after="80" w:line="276" w:lineRule="auto"/>
      </w:pPr>
      <w:r>
        <w:rPr>
          <w:rFonts w:ascii="Calibri" w:hAnsi="Calibri"/>
          <w:sz w:val="22"/>
        </w:rPr>
        <w:t>2. Mine Drainage &amp; Sump Design: Surface contour curvature guides optimal ditch gradients and sump placement to intercept monsoon runoff prior to pit crest ingress.</w:t>
      </w:r>
    </w:p>
    <w:p>
      <w:pPr>
        <w:spacing w:after="80" w:line="276" w:lineRule="auto"/>
      </w:pPr>
      <w:r>
        <w:rPr>
          <w:rFonts w:ascii="Calibri" w:hAnsi="Calibri"/>
          <w:sz w:val="22"/>
        </w:rPr>
        <w:t>3. Overburden Differencing: The baseline 9,300-node surface model enables volumetric stripping ratio updates against subsequent monthly survey scans.</w:t>
      </w:r>
    </w:p>
    <w:p>
      <w:pPr>
        <w:spacing w:after="80" w:line="276" w:lineRule="auto"/>
      </w:pPr>
      <w:r>
        <w:rPr>
          <w:rFonts w:ascii="Calibri" w:hAnsi="Calibri"/>
          <w:sz w:val="22"/>
        </w:rPr>
        <w:t>4. Limitations: Spaceborne elevation telemetry exhibits vertical errors of ±2 m to ±5 m, requiring RTK-GNSS ground-truthing for final legal lease demarcation.</w:t>
      </w:r>
    </w:p>
    <w:p>
      <w:pPr>
        <w:keepNext/>
        <w:spacing w:before="280" w:after="80"/>
      </w:pPr>
      <w:r>
        <w:rPr>
          <w:rFonts w:ascii="Calibri" w:hAnsi="Calibri"/>
          <w:b/>
          <w:color w:val="0F2D5A"/>
          <w:sz w:val="28"/>
        </w:rPr>
        <w:t>6. Conclusion &amp; Future Scope</w:t>
      </w:r>
    </w:p>
    <w:p>
      <w:pPr>
        <w:spacing w:after="80" w:line="276" w:lineRule="auto"/>
      </w:pPr>
      <w:r>
        <w:rPr>
          <w:rFonts w:ascii="Calibri" w:hAnsi="Calibri"/>
          <w:sz w:val="22"/>
        </w:rPr>
        <w:t>• Successfully established a verified digital mapping workflow linking Google Earth Pro, TCX Converter, Surfer, and AutoCAD for mine surface mapping.</w:t>
      </w:r>
    </w:p>
    <w:p>
      <w:pPr>
        <w:spacing w:after="80" w:line="276" w:lineRule="auto"/>
      </w:pPr>
      <w:r>
        <w:rPr>
          <w:rFonts w:ascii="Calibri" w:hAnsi="Calibri"/>
          <w:sz w:val="22"/>
        </w:rPr>
        <w:t>• Point Kriging over 9,300 nodes accurately reproduced the topographic field with an R² of 0.8891.</w:t>
      </w:r>
    </w:p>
    <w:p>
      <w:pPr>
        <w:spacing w:after="80" w:line="276" w:lineRule="auto"/>
      </w:pPr>
      <w:r>
        <w:rPr>
          <w:rFonts w:ascii="Calibri" w:hAnsi="Calibri"/>
          <w:sz w:val="22"/>
        </w:rPr>
        <w:t>• Delivered production-grade AutoCAD drawings (22MI31013_KURRA SRINIVAS.dwg) and high-resolution vector contours.</w:t>
      </w:r>
    </w:p>
    <w:p>
      <w:pPr>
        <w:spacing w:after="80" w:line="276" w:lineRule="auto"/>
      </w:pPr>
      <w:r>
        <w:rPr>
          <w:rFonts w:ascii="Calibri" w:hAnsi="Calibri"/>
          <w:sz w:val="22"/>
        </w:rPr>
        <w:t>• Future work includes integrating UAV LiDAR point clouds and linking DTM surfaces to limit-equilibrium slope stability solvers.</w:t>
      </w:r>
    </w:p>
    <w:p>
      <w:pPr>
        <w:keepNext/>
        <w:spacing w:before="280" w:after="80"/>
      </w:pPr>
      <w:r>
        <w:rPr>
          <w:rFonts w:ascii="Calibri" w:hAnsi="Calibri"/>
          <w:b/>
          <w:color w:val="0F2D5A"/>
          <w:sz w:val="28"/>
        </w:rPr>
        <w:t>7. References &amp; Citations</w:t>
      </w:r>
    </w:p>
    <w:p>
      <w:pPr>
        <w:spacing w:after="80" w:line="276" w:lineRule="auto"/>
      </w:pPr>
      <w:r>
        <w:rPr>
          <w:rFonts w:ascii="Calibri" w:hAnsi="Calibri"/>
          <w:sz w:val="22"/>
        </w:rPr>
        <w:t>1. Golden Software LLC, Surfer: Contouring and 3D Surface Mapping for Scientists and Engineers, User Reference Manual.</w:t>
      </w:r>
    </w:p>
    <w:p>
      <w:pPr>
        <w:spacing w:after="80" w:line="276" w:lineRule="auto"/>
      </w:pPr>
      <w:r>
        <w:rPr>
          <w:rFonts w:ascii="Calibri" w:hAnsi="Calibri"/>
          <w:sz w:val="22"/>
        </w:rPr>
        <w:t>2. Directorate General of Mines Safety (DGMS), Standard Operating Procedures and Geometric Guidelines for Opencast Mine Haul Roads and Benches.</w:t>
      </w:r>
    </w:p>
    <w:p>
      <w:pPr>
        <w:spacing w:after="80" w:line="276" w:lineRule="auto"/>
      </w:pPr>
      <w:r>
        <w:rPr>
          <w:rFonts w:ascii="Calibri" w:hAnsi="Calibri"/>
          <w:sz w:val="22"/>
        </w:rPr>
        <w:t>3. Davis, J. C., Statistics and Data Analysis in Geology, 3rd Edition, John Wiley &amp; Sons.</w:t>
      </w:r>
    </w:p>
    <w:p>
      <w:pPr>
        <w:spacing w:after="80" w:line="276" w:lineRule="auto"/>
      </w:pPr>
      <w:r>
        <w:rPr>
          <w:rFonts w:ascii="Calibri" w:hAnsi="Calibri"/>
          <w:sz w:val="22"/>
        </w:rPr>
        <w:t>4. Project Source Code &amp; CAD Deliverables: https://github.com/Kurra-Srinivas/topographic-and-contour-mapping.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