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center"/>
      </w:pPr>
      <w:r>
        <w:rPr>
          <w:rFonts w:ascii="Hiragino Sans GB" w:hAnsi="Hiragino Sans GB" w:eastAsia="Hiragino Sans GB"/>
          <w:b/>
          <w:color w:val="13263F"/>
          <w:sz w:val="44"/>
        </w:rPr>
        <w:t>商标注册申请材料</w:t>
      </w:r>
    </w:p>
    <w:p>
      <w:pPr>
        <w:spacing w:before="0" w:after="260" w:line="264" w:lineRule="auto"/>
        <w:jc w:val="center"/>
      </w:pPr>
      <w:r>
        <w:rPr>
          <w:rFonts w:ascii="Hiragino Sans GB" w:hAnsi="Hiragino Sans GB" w:eastAsia="Hiragino Sans GB"/>
          <w:b/>
          <w:color w:val="006B63"/>
          <w:sz w:val="19"/>
        </w:rPr>
        <w:t>Trademark Registration Materials · Course Demonstration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样本编号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5B6B7C"/>
                <w:sz w:val="20"/>
              </w:rPr>
              <w:t>ML-DEMO-2026-001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版本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5B6B7C"/>
                <w:sz w:val="20"/>
              </w:rPr>
              <w:t>V1.0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编制日期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5B6B7C"/>
                <w:sz w:val="20"/>
              </w:rPr>
              <w:t>2026 年 7 月 25 日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文件状态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5B6B7C"/>
                <w:sz w:val="20"/>
              </w:rPr>
              <w:t>课程演示 · 仅供测试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4F1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006B63"/>
                <w:sz w:val="19"/>
              </w:rPr>
              <w:t>重要说明：本文件由 MarkLens 为课程演示与附件识别测试而制作。主体、图样、商品/服务和申请信息均为虚构示例，不具有任何登记、申请或法律证明效力。</w:t>
            </w:r>
          </w:p>
        </w:tc>
      </w:tr>
    </w:tbl>
    <w:p>
      <w:pPr>
        <w:spacing w:before="240" w:after="120" w:line="264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01  申请标志基本信息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商标名称</w:t>
            </w:r>
          </w:p>
        </w:tc>
        <w:tc>
          <w:tcPr>
            <w:tcW w:type="dxa" w:w="6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20"/>
              </w:rPr>
              <w:t>星瀚智联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标志类型</w:t>
            </w:r>
          </w:p>
        </w:tc>
        <w:tc>
          <w:tcPr>
            <w:tcW w:type="dxa" w:w="6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20"/>
              </w:rPr>
              <w:t>文字与图形组合标志（拟申请）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使用目的</w:t>
            </w:r>
          </w:p>
        </w:tc>
        <w:tc>
          <w:tcPr>
            <w:tcW w:type="dxa" w:w="6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20"/>
              </w:rPr>
              <w:t>用于面向中小企业的品牌管理、商标检索与知识产权咨询服务。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20"/>
              </w:rPr>
              <w:t>商品/服务说明</w:t>
            </w:r>
          </w:p>
        </w:tc>
        <w:tc>
          <w:tcPr>
            <w:tcW w:type="dxa" w:w="6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20"/>
              </w:rPr>
              <w:t>提供广告策划、商业管理辅助、软件即服务（SaaS）、商标代理与知识产权咨询等服务。</w:t>
            </w:r>
          </w:p>
        </w:tc>
      </w:tr>
    </w:tbl>
    <w:p>
      <w:pPr>
        <w:spacing w:before="240" w:after="120" w:line="264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02  拟定商品/服务与国际分类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19"/>
              </w:rPr>
              <w:t>国际分类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19"/>
              </w:rPr>
              <w:t>服务方向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19"/>
              </w:rPr>
              <w:t>拟定服务表述（节选）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第 35 类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广告与商业管理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广告宣传；商业管理辅助；市场营销；为商品和服务的买卖双方提供在线市场。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第 42 类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软件与技术服务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软件即服务（SaaS）；计算机软件设计；平台即服务（PaaS）；数据处理软件的开发。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第 45 类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知识产权服务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商标代理服务；知识产权咨询；与知识产权有关的法律服务（课程演示用途）。</w:t>
            </w:r>
          </w:p>
        </w:tc>
      </w:tr>
    </w:tbl>
    <w:p>
      <w:pPr>
        <w:spacing w:before="240" w:after="120" w:line="264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03  标志图样及使用说明</w:t>
      </w:r>
    </w:p>
    <w:p>
      <w:pPr>
        <w:spacing w:before="0" w:after="10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51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Lens_星瀚智联_图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  <w:jc w:val="center"/>
      </w:pPr>
      <w:r>
        <w:rPr>
          <w:rFonts w:ascii="Hiragino Sans GB" w:hAnsi="Hiragino Sans GB" w:eastAsia="Hiragino Sans GB"/>
          <w:b w:val="0"/>
          <w:color w:val="5B6B7C"/>
          <w:sz w:val="18"/>
        </w:rPr>
        <w:t>图 1  拟申请标志图样（课程演示图）</w:t>
      </w:r>
    </w:p>
    <w:p>
      <w:pPr>
        <w:spacing w:before="0" w:after="80" w:line="276" w:lineRule="auto"/>
      </w:pPr>
      <w:r>
        <w:rPr>
          <w:rFonts w:ascii="Hiragino Sans GB" w:hAnsi="Hiragino Sans GB" w:eastAsia="Hiragino Sans GB"/>
          <w:b/>
          <w:color w:val="13263F"/>
          <w:sz w:val="21"/>
        </w:rPr>
        <w:t>图样说明：</w:t>
      </w:r>
      <w:r>
        <w:rPr>
          <w:rFonts w:ascii="Hiragino Sans GB" w:hAnsi="Hiragino Sans GB" w:eastAsia="Hiragino Sans GB"/>
          <w:b w:val="0"/>
          <w:color w:val="13263F"/>
          <w:sz w:val="21"/>
        </w:rPr>
        <w:t>以抽象“星芒 + 透镜”构成识别符号，搭配“星瀚智联”文字。实际申请时，应另行核对图样清晰度、显著性、在先权利及商品/服务表述。</w:t>
      </w:r>
    </w:p>
    <w:p>
      <w:pPr>
        <w:spacing w:before="240" w:after="120" w:line="264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04  附件识别字段核对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19"/>
              </w:rPr>
              <w:t>系统识别字段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19"/>
              </w:rPr>
              <w:t>预期识别结果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color w:val="13263F"/>
                <w:sz w:val="19"/>
              </w:rPr>
              <w:t>人工复核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商标名称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星瀚智联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应自动带入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使用目的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品牌管理、检索及知识产权咨询服务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应自动带入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国际分类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第 35 类、第 42 类、第 45 类</w:t>
            </w:r>
          </w:p>
        </w:tc>
        <w:tc>
          <w:tcPr>
            <w:tcW w:type="dxa" w:w="3213"/>
          </w:tcPr>
          <w:p>
            <w:pPr>
              <w:spacing w:before="0"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3263F"/>
                <w:sz w:val="18"/>
              </w:rPr>
              <w:t>应自动带入</w:t>
            </w:r>
          </w:p>
        </w:tc>
      </w:tr>
    </w:tbl>
    <w:p>
      <w:pPr>
        <w:spacing w:before="240" w:after="120" w:line="264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05  声明与提交前复核</w:t>
      </w:r>
    </w:p>
    <w:p>
      <w:pPr>
        <w:pStyle w:val="ListBullet"/>
        <w:spacing w:before="0" w:after="80" w:line="276" w:lineRule="auto"/>
      </w:pPr>
      <w:r>
        <w:rPr>
          <w:rFonts w:ascii="Hiragino Sans GB" w:hAnsi="Hiragino Sans GB" w:eastAsia="Hiragino Sans GB"/>
          <w:b w:val="0"/>
          <w:color w:val="13263F"/>
          <w:sz w:val="20"/>
        </w:rPr>
        <w:t>本样本仅用于测试 MarkLens 对商标注册相关附件的格式归一化、文本提取和字段预填能力。</w:t>
      </w:r>
    </w:p>
    <w:p>
      <w:pPr>
        <w:pStyle w:val="ListBullet"/>
        <w:spacing w:before="0" w:after="80" w:line="276" w:lineRule="auto"/>
      </w:pPr>
      <w:r>
        <w:rPr>
          <w:rFonts w:ascii="Hiragino Sans GB" w:hAnsi="Hiragino Sans GB" w:eastAsia="Hiragino Sans GB"/>
          <w:b w:val="0"/>
          <w:color w:val="13263F"/>
          <w:sz w:val="20"/>
        </w:rPr>
        <w:t>系统生成的候选信息须由使用者复核；商标申请应以主管部门规定的材料、流程和专业意见为准。</w:t>
      </w:r>
    </w:p>
    <w:p>
      <w:pPr>
        <w:pStyle w:val="ListBullet"/>
        <w:spacing w:before="0" w:after="80" w:line="276" w:lineRule="auto"/>
      </w:pPr>
      <w:r>
        <w:rPr>
          <w:rFonts w:ascii="Hiragino Sans GB" w:hAnsi="Hiragino Sans GB" w:eastAsia="Hiragino Sans GB"/>
          <w:b w:val="0"/>
          <w:color w:val="13263F"/>
          <w:sz w:val="20"/>
        </w:rPr>
        <w:t>本文件不包含个人身份信息、真实企业资料、真实申请号或可用于实际提交的授权文件。</w:t>
      </w:r>
    </w:p>
    <w:p>
      <w:pPr>
        <w:spacing w:before="200" w:after="0" w:line="264" w:lineRule="auto"/>
        <w:jc w:val="right"/>
      </w:pPr>
      <w:r>
        <w:rPr>
          <w:rFonts w:ascii="Hiragino Sans GB" w:hAnsi="Hiragino Sans GB" w:eastAsia="Hiragino Sans GB"/>
          <w:b w:val="0"/>
          <w:color w:val="5B6B7C"/>
          <w:sz w:val="19"/>
        </w:rPr>
        <w:t>MarkLens 课程项目组  |  资料归一化测试样本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Hiragino Sans GB" w:hAnsi="Hiragino Sans GB" w:eastAsia="Hiragino Sans GB"/>
        <w:b w:val="0"/>
        <w:color w:val="5B6B7C"/>
        <w:sz w:val="17"/>
      </w:rPr>
      <w:t>课程演示样本 · 不构成商标注册申请文件或法律意见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Hiragino Sans GB" w:hAnsi="Hiragino Sans GB" w:eastAsia="Hiragino Sans GB"/>
        <w:b/>
        <w:color w:val="5B6B7C"/>
        <w:sz w:val="17"/>
      </w:rPr>
      <w:t>MARKLENS  |  品牌资料归一化测试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