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t>Rīga 2021</w:t>
      </w:r>
    </w:p>
    <w:p>
      <w:pPr>
        <w:pStyle w:val="Head1beznumsatura"/>
        <w:ind w:left="1151" w:right="-1" w:hanging="431"/>
        <w:rPr/>
      </w:pPr>
      <w:bookmarkStart w:id="2" w:name="_Toc318203340"/>
      <w:bookmarkStart w:id="3" w:name="_Toc322465142"/>
      <w:bookmarkStart w:id="4" w:name="_Toc341792563"/>
      <w:bookmarkStart w:id="5" w:name="_Toc318203192"/>
      <w:bookmarkStart w:id="6" w:name="_Toc318207594"/>
      <w:bookmarkStart w:id="7" w:name="_Toc322465057"/>
      <w:bookmarkStart w:id="8" w:name="_Toc322465165"/>
      <w:r>
        <w:rPr/>
        <w:t>Anotācija</w:t>
      </w:r>
      <w:bookmarkEnd w:id="2"/>
      <w:bookmarkEnd w:id="3"/>
      <w:bookmarkEnd w:id="4"/>
      <w:bookmarkEnd w:id="5"/>
      <w:bookmarkEnd w:id="6"/>
      <w:bookmarkEnd w:id="7"/>
      <w:bookmarkEnd w:id="8"/>
    </w:p>
    <w:p>
      <w:pPr>
        <w:pStyle w:val="Normal"/>
        <w:spacing w:lineRule="auto" w:line="360"/>
        <w:ind w:left="0" w:right="-1" w:firstLine="720"/>
        <w:rPr/>
      </w:pPr>
      <w:r>
        <w:rPr/>
        <w:t xml:space="preserve">Šis dokuments ir izmantots, lai aprakstītu bakalaura darba atskaiti pirmajam semestrim. Šajā atskaitē ir izveidots aptuvenais darba saturs, iezīmējot tā sadalījumu nodaļās. Ir norādīti arī plānotie termiņi bakalaura darba daļu izpildei. Dokumenta saturā ir sniegts ieskats dažās darba nodaļās un aprakstītas konkrētas lietas, kā arī ir norādīts sākotnējas izmantotās literatūras saraksts. </w:t>
      </w:r>
    </w:p>
    <w:p>
      <w:pPr>
        <w:pStyle w:val="Head1beznumsatura"/>
        <w:ind w:left="1151" w:right="-1" w:hanging="431"/>
        <w:rPr/>
      </w:pPr>
      <w:bookmarkStart w:id="9" w:name="_Toc322465058"/>
      <w:bookmarkStart w:id="10" w:name="_Toc318203341"/>
      <w:bookmarkStart w:id="11" w:name="_Toc322465143"/>
      <w:bookmarkStart w:id="12" w:name="_Toc318203193"/>
      <w:bookmarkStart w:id="13" w:name="_Toc322465166"/>
      <w:bookmarkStart w:id="14" w:name="_Toc341792564"/>
      <w:bookmarkStart w:id="15" w:name="_Toc318207595"/>
      <w:r>
        <w:rPr/>
        <w:t>SATURA RĀDĪTĀJS</w:t>
      </w:r>
      <w:bookmarkEnd w:id="9"/>
      <w:bookmarkEnd w:id="10"/>
      <w:bookmarkEnd w:id="11"/>
      <w:bookmarkEnd w:id="12"/>
      <w:bookmarkEnd w:id="13"/>
      <w:bookmarkEnd w:id="14"/>
      <w:bookmarkEnd w:id="15"/>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Izskaidrojamības un sarežģītības jēdzieni</w:t>
              <w:tab/>
              <w:t>3</w:t>
            </w:r>
          </w:hyperlink>
        </w:p>
        <w:p>
          <w:pPr>
            <w:pStyle w:val="Contents2"/>
            <w:tabs>
              <w:tab w:val="clear" w:pos="720"/>
              <w:tab w:val="right" w:pos="9071" w:leader="dot"/>
            </w:tabs>
            <w:rPr/>
          </w:pPr>
          <w:hyperlink w:anchor="__RefHeading___Toc50249_2182101473">
            <w:r>
              <w:rPr>
                <w:rStyle w:val="IndexLink"/>
              </w:rPr>
              <w:t>1.1 Izskaidrojamības jēdziens</w:t>
              <w:tab/>
              <w:t>3</w:t>
            </w:r>
          </w:hyperlink>
        </w:p>
        <w:p>
          <w:pPr>
            <w:pStyle w:val="Contents2"/>
            <w:tabs>
              <w:tab w:val="clear" w:pos="720"/>
              <w:tab w:val="right" w:pos="9071" w:leader="dot"/>
            </w:tabs>
            <w:rPr/>
          </w:pPr>
          <w:hyperlink w:anchor="__RefHeading___Toc50251_2182101473">
            <w:r>
              <w:rPr>
                <w:rStyle w:val="IndexLink"/>
              </w:rPr>
              <w:t>1.2 Sarežģītības jēdziens</w:t>
              <w:tab/>
              <w:t>5</w:t>
            </w:r>
          </w:hyperlink>
        </w:p>
        <w:p>
          <w:pPr>
            <w:pStyle w:val="Contents2"/>
            <w:tabs>
              <w:tab w:val="clear" w:pos="720"/>
              <w:tab w:val="right" w:pos="9071" w:leader="dot"/>
            </w:tabs>
            <w:rPr/>
          </w:pPr>
          <w:hyperlink w:anchor="__RefHeading___Toc1901_1315397067">
            <w:r>
              <w:rPr>
                <w:rStyle w:val="IndexLink"/>
              </w:rPr>
              <w:t xml:space="preserve">1.3 </w:t>
            </w:r>
            <w:r>
              <w:rPr>
                <w:rStyle w:val="IndexLink"/>
                <w:iCs/>
              </w:rPr>
              <w:t>Stratēģijas</w:t>
            </w:r>
            <w:r>
              <w:rPr>
                <w:rStyle w:val="IndexLink"/>
              </w:rPr>
              <w:t xml:space="preserve"> </w:t>
            </w:r>
            <w:r>
              <w:rPr>
                <w:rStyle w:val="IndexLink"/>
                <w:iCs/>
              </w:rPr>
              <w:t>sarežģītības samazināšanai koku modeļos</w:t>
            </w:r>
            <w:r>
              <w:rPr>
                <w:rStyle w:val="IndexLink"/>
              </w:rPr>
              <w:tab/>
              <w:t>6</w:t>
            </w:r>
          </w:hyperlink>
        </w:p>
        <w:p>
          <w:pPr>
            <w:pStyle w:val="Contents2"/>
            <w:tabs>
              <w:tab w:val="clear" w:pos="720"/>
              <w:tab w:val="right" w:pos="9071" w:leader="dot"/>
            </w:tabs>
            <w:rPr/>
          </w:pPr>
          <w:hyperlink w:anchor="__RefHeading___Toc52025_2182101473">
            <w:r>
              <w:rPr>
                <w:rStyle w:val="IndexLink"/>
              </w:rPr>
              <w:t>1.4 Anskomba kvartets</w:t>
              <w:tab/>
              <w:t>9</w:t>
            </w:r>
          </w:hyperlink>
        </w:p>
        <w:p>
          <w:pPr>
            <w:pStyle w:val="Contents1"/>
            <w:tabs>
              <w:tab w:val="clear" w:pos="720"/>
              <w:tab w:val="right" w:pos="9071" w:leader="dot"/>
            </w:tabs>
            <w:rPr/>
          </w:pPr>
          <w:hyperlink w:anchor="__RefHeading___Toc50255_2182101473">
            <w:r>
              <w:rPr>
                <w:rStyle w:val="IndexLink"/>
              </w:rPr>
              <w:t>2 Globālas Izskaidrojamības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13</w:t>
            </w:r>
          </w:hyperlink>
        </w:p>
        <w:p>
          <w:pPr>
            <w:pStyle w:val="Contents3"/>
            <w:tabs>
              <w:tab w:val="clear" w:pos="720"/>
              <w:tab w:val="right" w:pos="9071" w:leader="dot"/>
            </w:tabs>
            <w:rPr/>
          </w:pPr>
          <w:hyperlink w:anchor="__RefHeading___Toc12892_4027635924">
            <w:r>
              <w:rPr>
                <w:rStyle w:val="IndexLink"/>
              </w:rPr>
              <w:t>2.1.2 Spīrmena korelācijas koeficients</w:t>
              <w:tab/>
              <w:t>15</w:t>
            </w:r>
          </w:hyperlink>
        </w:p>
        <w:p>
          <w:pPr>
            <w:pStyle w:val="Contents3"/>
            <w:tabs>
              <w:tab w:val="clear" w:pos="720"/>
              <w:tab w:val="right" w:pos="9071" w:leader="dot"/>
            </w:tabs>
            <w:rPr/>
          </w:pPr>
          <w:hyperlink w:anchor="__RefHeading___Toc5993_1926664601">
            <w:r>
              <w:rPr>
                <w:rStyle w:val="IndexLink"/>
              </w:rPr>
              <w:t>2.1.3 Kendala rangu korelāciajs koeficients</w:t>
              <w:tab/>
              <w:t>17</w:t>
            </w:r>
          </w:hyperlink>
        </w:p>
        <w:p>
          <w:pPr>
            <w:pStyle w:val="Contents3"/>
            <w:tabs>
              <w:tab w:val="clear" w:pos="720"/>
              <w:tab w:val="right" w:pos="9071" w:leader="dot"/>
            </w:tabs>
            <w:rPr/>
          </w:pPr>
          <w:hyperlink w:anchor="__RefHeading___Toc5995_1926664601">
            <w:r>
              <w:rPr>
                <w:rStyle w:val="IndexLink"/>
              </w:rPr>
              <w:t xml:space="preserve">2.1.4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2.1.5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2.1.6 Determinācijas koeficients un ANOVA</w:t>
              <w:tab/>
              <w:t>20</w:t>
            </w:r>
          </w:hyperlink>
        </w:p>
        <w:p>
          <w:pPr>
            <w:pStyle w:val="Contents2"/>
            <w:tabs>
              <w:tab w:val="clear" w:pos="720"/>
              <w:tab w:val="right" w:pos="9071" w:leader="dot"/>
            </w:tabs>
            <w:rPr/>
          </w:pPr>
          <w:hyperlink w:anchor="__RefHeading___Toc8329_1926664601">
            <w:r>
              <w:rPr>
                <w:rStyle w:val="IndexLink"/>
              </w:rPr>
              <w:t xml:space="preserve">2.2 </w:t>
            </w:r>
            <w:r>
              <w:rPr>
                <w:rStyle w:val="IndexLink"/>
                <w:iCs/>
              </w:rPr>
              <w:t>Ietvertās metodes</w:t>
            </w:r>
            <w:r>
              <w:rPr>
                <w:rStyle w:val="IndexLink"/>
              </w:rPr>
              <w:tab/>
              <w:t>21</w:t>
            </w:r>
          </w:hyperlink>
        </w:p>
        <w:p>
          <w:pPr>
            <w:pStyle w:val="Contents3"/>
            <w:tabs>
              <w:tab w:val="clear" w:pos="720"/>
              <w:tab w:val="right" w:pos="9071" w:leader="dot"/>
            </w:tabs>
            <w:rPr/>
          </w:pPr>
          <w:hyperlink w:anchor="__RefHeading___Toc8331_1926664601">
            <w:r>
              <w:rPr>
                <w:rStyle w:val="IndexLink"/>
              </w:rPr>
              <w:t>2.2.1 Kritērija guvuma mērs</w:t>
              <w:tab/>
              <w:t>21</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22</w:t>
            </w:r>
          </w:hyperlink>
        </w:p>
        <w:p>
          <w:pPr>
            <w:pStyle w:val="Contents3"/>
            <w:tabs>
              <w:tab w:val="clear" w:pos="720"/>
              <w:tab w:val="right" w:pos="9071" w:leader="dot"/>
            </w:tabs>
            <w:rPr/>
          </w:pPr>
          <w:hyperlink w:anchor="__RefHeading___Toc8335_1926664601">
            <w:r>
              <w:rPr>
                <w:rStyle w:val="IndexLink"/>
              </w:rPr>
              <w:t>2.4.1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2.4.2 </w:t>
            </w:r>
            <w:r>
              <w:rPr>
                <w:rStyle w:val="IndexLink"/>
                <w:i w:val="false"/>
                <w:iCs w:val="false"/>
              </w:rPr>
              <w:t>TreeSHAP mainīgo svarīgums</w:t>
            </w:r>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2.4.3 </w:t>
            </w:r>
            <w:r>
              <w:rPr>
                <w:rStyle w:val="IndexLink"/>
                <w:i w:val="false"/>
                <w:iCs w:val="false"/>
              </w:rPr>
              <w:t>Rekursīva mainīgo izslēgšana</w:t>
            </w:r>
            <w:r>
              <w:rPr>
                <w:rStyle w:val="IndexLink"/>
              </w:rPr>
              <w:tab/>
              <w:t>26</w:t>
            </w:r>
          </w:hyperlink>
        </w:p>
        <w:p>
          <w:pPr>
            <w:pStyle w:val="Contents1"/>
            <w:tabs>
              <w:tab w:val="clear" w:pos="720"/>
              <w:tab w:val="right" w:pos="9071" w:leader="dot"/>
            </w:tabs>
            <w:rPr/>
          </w:pPr>
          <w:hyperlink w:anchor="__RefHeading___Toc50257_2182101473">
            <w:r>
              <w:rPr>
                <w:rStyle w:val="IndexLink"/>
              </w:rPr>
              <w:t>3 Klasifikācijas un Regresijas lēmumu koku algoritmi (CART)</w:t>
              <w:tab/>
              <w:t>27</w:t>
            </w:r>
          </w:hyperlink>
        </w:p>
        <w:p>
          <w:pPr>
            <w:pStyle w:val="Contents2"/>
            <w:tabs>
              <w:tab w:val="clear" w:pos="720"/>
              <w:tab w:val="right" w:pos="9071" w:leader="dot"/>
            </w:tabs>
            <w:rPr/>
          </w:pPr>
          <w:hyperlink w:anchor="__RefHeading___Toc10767_4027635924">
            <w:r>
              <w:rPr>
                <w:rStyle w:val="IndexLink"/>
              </w:rPr>
              <w:t xml:space="preserve">3.1 </w:t>
            </w:r>
            <w:r>
              <w:rPr>
                <w:rStyle w:val="IndexLink"/>
                <w:iCs/>
              </w:rPr>
              <w:t>Lēmumu koki</w:t>
            </w:r>
            <w:r>
              <w:rPr>
                <w:rStyle w:val="IndexLink"/>
              </w:rPr>
              <w:tab/>
              <w:t>27</w:t>
            </w:r>
          </w:hyperlink>
        </w:p>
        <w:p>
          <w:pPr>
            <w:pStyle w:val="Contents2"/>
            <w:tabs>
              <w:tab w:val="clear" w:pos="720"/>
              <w:tab w:val="right" w:pos="9071" w:leader="dot"/>
            </w:tabs>
            <w:rPr/>
          </w:pPr>
          <w:hyperlink w:anchor="__RefHeading___Toc10996_37578795471">
            <w:r>
              <w:rPr>
                <w:rStyle w:val="IndexLink"/>
              </w:rPr>
              <w:t xml:space="preserve">3.2 </w:t>
            </w:r>
            <w:r>
              <w:rPr>
                <w:rStyle w:val="IndexLink"/>
                <w:iCs/>
              </w:rPr>
              <w:t>Lēmumu koku izlase</w:t>
            </w:r>
            <w:r>
              <w:rPr>
                <w:rStyle w:val="IndexLink"/>
              </w:rPr>
              <w:tab/>
              <w:t>29</w:t>
            </w:r>
          </w:hyperlink>
        </w:p>
        <w:p>
          <w:pPr>
            <w:pStyle w:val="Contents2"/>
            <w:tabs>
              <w:tab w:val="clear" w:pos="720"/>
              <w:tab w:val="right" w:pos="9071" w:leader="dot"/>
            </w:tabs>
            <w:rPr/>
          </w:pPr>
          <w:hyperlink w:anchor="__RefHeading___Toc10998_37578795473">
            <w:r>
              <w:rPr>
                <w:rStyle w:val="IndexLink"/>
              </w:rPr>
              <w:t xml:space="preserve">3.3 </w:t>
            </w:r>
            <w:r>
              <w:rPr>
                <w:rStyle w:val="IndexLink"/>
                <w:iCs/>
              </w:rPr>
              <w:t>Gradienta stiprinoša lēmumu koku izlase</w:t>
            </w:r>
            <w:r>
              <w:rPr>
                <w:rStyle w:val="IndexLink"/>
              </w:rPr>
              <w:tab/>
              <w:t>30</w:t>
            </w:r>
          </w:hyperlink>
        </w:p>
        <w:p>
          <w:pPr>
            <w:pStyle w:val="Contents1"/>
            <w:tabs>
              <w:tab w:val="clear" w:pos="720"/>
              <w:tab w:val="right" w:pos="9071" w:leader="dot"/>
            </w:tabs>
            <w:rPr/>
          </w:pPr>
          <w:hyperlink w:anchor="__RefHeading___Toc50261_2182101473">
            <w:r>
              <w:rPr>
                <w:rStyle w:val="IndexLink"/>
              </w:rPr>
              <w:t>4 Eksperimenti Globālo izskaidrojamības Metožu Efektīvitātes noteikšanai</w:t>
              <w:tab/>
              <w:t>31</w:t>
            </w:r>
          </w:hyperlink>
        </w:p>
        <w:p>
          <w:pPr>
            <w:pStyle w:val="Contents2"/>
            <w:tabs>
              <w:tab w:val="clear" w:pos="720"/>
              <w:tab w:val="right" w:pos="9071" w:leader="dot"/>
            </w:tabs>
            <w:rPr/>
          </w:pPr>
          <w:hyperlink w:anchor="__RefHeading___Toc50263_2182101473">
            <w:r>
              <w:rPr>
                <w:rStyle w:val="IndexLink"/>
              </w:rPr>
              <w:t>4.1 Izmantotās datu kopas un to pirmsapstrāde</w:t>
              <w:tab/>
              <w:t>31</w:t>
            </w:r>
          </w:hyperlink>
        </w:p>
        <w:p>
          <w:pPr>
            <w:pStyle w:val="Contents2"/>
            <w:tabs>
              <w:tab w:val="clear" w:pos="720"/>
              <w:tab w:val="right" w:pos="9071" w:leader="dot"/>
            </w:tabs>
            <w:rPr/>
          </w:pPr>
          <w:hyperlink w:anchor="__RefHeading___Toc9610_667262781">
            <w:r>
              <w:rPr>
                <w:rStyle w:val="IndexLink"/>
              </w:rPr>
              <w:t xml:space="preserve">4.2 </w:t>
            </w:r>
            <w:r>
              <w:rPr>
                <w:rStyle w:val="IndexLink"/>
                <w:iCs/>
              </w:rPr>
              <w:t>Eksperiments ar dabiskiem datiem</w:t>
            </w:r>
            <w:r>
              <w:rPr>
                <w:rStyle w:val="IndexLink"/>
              </w:rPr>
              <w:tab/>
              <w:t>33</w:t>
            </w:r>
          </w:hyperlink>
        </w:p>
        <w:p>
          <w:pPr>
            <w:pStyle w:val="Contents2"/>
            <w:tabs>
              <w:tab w:val="clear" w:pos="720"/>
              <w:tab w:val="right" w:pos="9071" w:leader="dot"/>
            </w:tabs>
            <w:rPr/>
          </w:pPr>
          <w:hyperlink w:anchor="__RefHeading___Toc1807_2551015736">
            <w:r>
              <w:rPr>
                <w:rStyle w:val="IndexLink"/>
              </w:rPr>
              <w:t>4.3 Eksperiments ar sintētiskiem datiem</w:t>
              <w:tab/>
              <w:t>38</w:t>
            </w:r>
          </w:hyperlink>
        </w:p>
        <w:p>
          <w:pPr>
            <w:pStyle w:val="Contents2"/>
            <w:tabs>
              <w:tab w:val="clear" w:pos="720"/>
              <w:tab w:val="right" w:pos="9071" w:leader="dot"/>
            </w:tabs>
            <w:rPr/>
          </w:pPr>
          <w:hyperlink w:anchor="__RefHeading___Toc5919_3955443528">
            <w:r>
              <w:rPr>
                <w:rStyle w:val="IndexLink"/>
              </w:rPr>
              <w:t xml:space="preserve">4.4 </w:t>
            </w:r>
            <w:r>
              <w:rPr>
                <w:rStyle w:val="IndexLink"/>
                <w:iCs/>
              </w:rPr>
              <w:t>Eksperiments metožu ātruma novērtējumam</w:t>
            </w:r>
            <w:r>
              <w:rPr>
                <w:rStyle w:val="IndexLink"/>
              </w:rPr>
              <w:tab/>
              <w:t>39</w:t>
            </w:r>
          </w:hyperlink>
        </w:p>
        <w:p>
          <w:pPr>
            <w:pStyle w:val="Contents2"/>
            <w:tabs>
              <w:tab w:val="clear" w:pos="720"/>
              <w:tab w:val="right" w:pos="9071" w:leader="dot"/>
            </w:tabs>
            <w:rPr/>
          </w:pPr>
          <w:hyperlink w:anchor="__RefHeading___Toc9612_667262781">
            <w:r>
              <w:rPr>
                <w:rStyle w:val="IndexLink"/>
              </w:rPr>
              <w:t xml:space="preserve">4.5 </w:t>
            </w:r>
            <w:r>
              <w:rPr>
                <w:rStyle w:val="IndexLink"/>
                <w:iCs/>
              </w:rPr>
              <w:t>Mainīgo svarīguma metožu novērtējums</w:t>
            </w:r>
            <w:r>
              <w:rPr>
                <w:rStyle w:val="IndexLink"/>
              </w:rPr>
              <w:tab/>
              <w:t>40</w:t>
            </w:r>
          </w:hyperlink>
        </w:p>
        <w:p>
          <w:pPr>
            <w:pStyle w:val="Contents2"/>
            <w:tabs>
              <w:tab w:val="clear" w:pos="720"/>
              <w:tab w:val="right" w:pos="9071" w:leader="dot"/>
            </w:tabs>
            <w:rPr/>
          </w:pPr>
          <w:hyperlink w:anchor="__RefHeading___Toc15441_3955443528">
            <w:r>
              <w:rPr>
                <w:rStyle w:val="IndexLink"/>
              </w:rPr>
              <w:t xml:space="preserve">4.6 </w:t>
            </w:r>
            <w:r>
              <w:rPr>
                <w:rStyle w:val="IndexLink"/>
                <w:iCs/>
              </w:rPr>
              <w:t>Vienkāršu modeļu paritāte</w:t>
            </w:r>
            <w:r>
              <w:rPr>
                <w:rStyle w:val="IndexLink"/>
              </w:rPr>
              <w:tab/>
              <w:t>41</w:t>
            </w:r>
          </w:hyperlink>
          <w:r>
            <w:rPr>
              <w:rStyle w:val="IndexLink"/>
            </w:rPr>
            <w:fldChar w:fldCharType="end"/>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Pr>
        </w:p>
      </w:sdtContent>
    </w:sdt>
    <w:p>
      <w:pPr>
        <w:pStyle w:val="Heading1"/>
        <w:numPr>
          <w:ilvl w:val="0"/>
          <w:numId w:val="3"/>
        </w:numPr>
        <w:rPr>
          <w:rFonts w:eastAsia="Times New Roman" w:cs="Arial"/>
          <w:b/>
          <w:b/>
          <w:bCs/>
          <w:caps/>
          <w:color w:val="auto"/>
          <w:kern w:val="2"/>
          <w:sz w:val="28"/>
          <w:szCs w:val="32"/>
          <w:lang w:val="lv-LV" w:eastAsia="en-US" w:bidi="ar-SA"/>
        </w:rPr>
      </w:pPr>
      <w:bookmarkStart w:id="16" w:name="__RefHeading___Toc50247_2182101473"/>
      <w:bookmarkEnd w:id="16"/>
      <w:r>
        <w:rPr>
          <w:rFonts w:eastAsia="Times New Roman" w:cs="Arial"/>
          <w:b/>
          <w:bCs/>
          <w:caps/>
          <w:color w:val="auto"/>
          <w:kern w:val="2"/>
          <w:sz w:val="28"/>
          <w:szCs w:val="32"/>
          <w:lang w:val="lv-LV" w:eastAsia="en-US" w:bidi="ar-SA"/>
        </w:rPr>
        <w:t>Izskaidrojamības un sarežģītības jēdzieni</w:t>
      </w:r>
    </w:p>
    <w:p>
      <w:pPr>
        <w:pStyle w:val="Heading2"/>
        <w:numPr>
          <w:ilvl w:val="1"/>
          <w:numId w:val="4"/>
        </w:numPr>
        <w:rPr/>
      </w:pPr>
      <w:bookmarkStart w:id="17" w:name="__RefHeading___Toc50249_2182101473"/>
      <w:bookmarkEnd w:id="17"/>
      <w:r>
        <w:rPr/>
        <w:t>Izskaidrojamības jēdziens</w:t>
      </w:r>
    </w:p>
    <w:p>
      <w:pPr>
        <w:pStyle w:val="Normal"/>
        <w:ind w:left="0" w:right="0" w:hanging="0"/>
        <w:rPr/>
      </w:pPr>
      <w:r>
        <w:rPr>
          <w:rFonts w:eastAsia="Times New Roman" w:cs="Times New Roman"/>
          <w:color w:val="auto"/>
          <w:kern w:val="0"/>
          <w:sz w:val="24"/>
          <w:szCs w:val="24"/>
          <w:lang w:val="lv-LV" w:eastAsia="en-US" w:bidi="ar-SA"/>
        </w:rPr>
        <w:tab/>
        <w:t>Makslīgā intelekta (tālāk 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veic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Avots (Doshi‐Velez &amp; Kim, 2017) piedāvā visus kritērijus, kas nav saistīti ar modeļa veiktspēju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5"/>
        </w:numPr>
        <w:rPr>
          <w:rFonts w:ascii="Times New Roman" w:hAnsi="Times New Roman" w:eastAsia="Times New Roman" w:cs="Times New Roman"/>
          <w:b w:val="false"/>
          <w:b w:val="false"/>
          <w:i w:val="false"/>
          <w:i w:val="false"/>
          <w:caps w:val="false"/>
          <w:smallCaps w:val="false"/>
          <w:color w:val="auto"/>
          <w:spacing w:val="0"/>
          <w:kern w:val="0"/>
          <w:sz w:val="24"/>
          <w:szCs w:val="24"/>
          <w:lang w:val="lv-LV" w:eastAsia="en-US" w:bidi="ar-SA"/>
        </w:rPr>
      </w:pPr>
      <w:r>
        <w:rPr>
          <w:rFonts w:eastAsia="Times New Roman" w:cs="Times New Roman"/>
          <w:b w:val="false"/>
          <w:i w:val="false"/>
          <w:caps w:val="false"/>
          <w:smallCaps w:val="false"/>
          <w:color w:val="auto"/>
          <w:spacing w:val="0"/>
          <w:kern w:val="0"/>
          <w:sz w:val="24"/>
          <w:szCs w:val="24"/>
          <w:lang w:val="lv-LV" w:eastAsia="en-US" w:bidi="ar-SA"/>
        </w:rPr>
        <w:t>Ietverta (intrinsic) vai modeļa analīzējoša (post-hoc) izskaidrojamības metode</w:t>
      </w:r>
    </w:p>
    <w:p>
      <w:pPr>
        <w:pStyle w:val="Normal"/>
        <w:numPr>
          <w:ilvl w:val="0"/>
          <w:numId w:val="0"/>
        </w:numPr>
        <w:ind w:left="1152" w:right="0" w:hanging="0"/>
        <w:rPr>
          <w:rFonts w:ascii="Times New Roman" w:hAnsi="Times New Roman" w:eastAsia="Times New Roman" w:cs="Times New Roman"/>
          <w:b w:val="false"/>
          <w:b w:val="false"/>
          <w:i w:val="false"/>
          <w:i w:val="false"/>
          <w:caps w:val="false"/>
          <w:smallCaps w:val="false"/>
          <w:color w:val="auto"/>
          <w:spacing w:val="0"/>
          <w:kern w:val="0"/>
          <w:sz w:val="24"/>
          <w:szCs w:val="24"/>
          <w:lang w:val="lv-LV" w:eastAsia="en-US" w:bidi="ar-SA"/>
        </w:rPr>
      </w:pPr>
      <w:r>
        <w:rPr>
          <w:rFonts w:eastAsia="Times New Roman" w:cs="Times New Roman"/>
          <w:b w:val="false"/>
          <w:i w:val="false"/>
          <w:caps w:val="false"/>
          <w:smallCaps w:val="false"/>
          <w:color w:val="auto"/>
          <w:spacing w:val="0"/>
          <w:kern w:val="0"/>
          <w:sz w:val="24"/>
          <w:szCs w:val="24"/>
          <w:lang w:val="lv-LV" w:eastAsia="en-US" w:bidi="ar-SA"/>
        </w:rPr>
        <w:t xml:space="preserve">Kritērijs raksturo vai izskaidrojamība tiek iegūta samazinot modeļa sarežģītību vai izmantojot metodes pēc modeļa apmācības. Sarežģītību samazinošas metodes piemērs ir sekli lēmuma koki. Pēc modeļa analizējošas metodes piemērs ir permutācijas mainīgo svarīgums (tālāk PIMP no angļ. </w:t>
      </w:r>
      <w:r>
        <w:rPr>
          <w:rFonts w:eastAsia="Times New Roman" w:cs="Times New Roman"/>
          <w:b/>
          <w:bCs/>
          <w:i w:val="false"/>
          <w:caps w:val="false"/>
          <w:smallCaps w:val="false"/>
          <w:color w:val="auto"/>
          <w:spacing w:val="0"/>
          <w:kern w:val="0"/>
          <w:sz w:val="24"/>
          <w:szCs w:val="24"/>
          <w:lang w:val="lv-LV" w:eastAsia="en-US" w:bidi="ar-SA"/>
        </w:rPr>
        <w:t>P</w:t>
      </w:r>
      <w:r>
        <w:rPr>
          <w:rFonts w:eastAsia="Times New Roman" w:cs="Times New Roman"/>
          <w:b w:val="false"/>
          <w:i w:val="false"/>
          <w:caps w:val="false"/>
          <w:smallCaps w:val="false"/>
          <w:color w:val="auto"/>
          <w:spacing w:val="0"/>
          <w:kern w:val="0"/>
          <w:sz w:val="24"/>
          <w:szCs w:val="24"/>
          <w:lang w:val="lv-LV" w:eastAsia="en-US" w:bidi="ar-SA"/>
        </w:rPr>
        <w:t xml:space="preserve">ermutation feature </w:t>
      </w:r>
      <w:r>
        <w:rPr>
          <w:rFonts w:eastAsia="Times New Roman" w:cs="Times New Roman"/>
          <w:b/>
          <w:bCs/>
          <w:i w:val="false"/>
          <w:caps w:val="false"/>
          <w:smallCaps w:val="false"/>
          <w:color w:val="auto"/>
          <w:spacing w:val="0"/>
          <w:kern w:val="0"/>
          <w:sz w:val="24"/>
          <w:szCs w:val="24"/>
          <w:lang w:val="lv-LV" w:eastAsia="en-US" w:bidi="ar-SA"/>
        </w:rPr>
        <w:t>IMP</w:t>
      </w:r>
      <w:r>
        <w:rPr>
          <w:rFonts w:eastAsia="Times New Roman" w:cs="Times New Roman"/>
          <w:b w:val="false"/>
          <w:i w:val="false"/>
          <w:caps w:val="false"/>
          <w:smallCaps w:val="false"/>
          <w:color w:val="auto"/>
          <w:spacing w:val="0"/>
          <w:kern w:val="0"/>
          <w:sz w:val="24"/>
          <w:szCs w:val="24"/>
          <w:lang w:val="lv-LV" w:eastAsia="en-US" w:bidi="ar-SA"/>
        </w:rPr>
        <w:t xml:space="preserve">ortance) </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Kāds ir izskaidrojamības metodes rezultāts</w:t>
      </w:r>
    </w:p>
    <w:p>
      <w:pPr>
        <w:pStyle w:val="Normal"/>
        <w:numPr>
          <w:ilvl w:val="1"/>
          <w:numId w:val="5"/>
        </w:numPr>
        <w:rPr>
          <w:rFonts w:ascii="Times New Roman" w:hAnsi="Times New Roman" w:eastAsia="Times New Roman" w:cs="Times New Roman"/>
          <w:b w:val="false"/>
          <w:b w:val="false"/>
          <w:i w:val="false"/>
          <w:i w:val="false"/>
          <w:caps w:val="false"/>
          <w:smallCaps w:val="false"/>
          <w:color w:val="auto"/>
          <w:spacing w:val="0"/>
          <w:kern w:val="0"/>
          <w:sz w:val="24"/>
          <w:szCs w:val="24"/>
          <w:lang w:val="lv-LV" w:eastAsia="en-US" w:bidi="ar-SA"/>
        </w:rPr>
      </w:pPr>
      <w:r>
        <w:rPr>
          <w:rFonts w:eastAsia="Times New Roman" w:cs="Times New Roman"/>
          <w:b w:val="false"/>
          <w:i w:val="false"/>
          <w:caps w:val="false"/>
          <w:smallCaps w:val="false"/>
          <w:color w:val="auto"/>
          <w:spacing w:val="0"/>
          <w:kern w:val="0"/>
          <w:sz w:val="24"/>
          <w:szCs w:val="24"/>
          <w:lang w:val="lv-LV" w:eastAsia="en-US" w:bidi="ar-SA"/>
        </w:rPr>
        <w:t>Mainīga vispārīga mērs - Izskaidrojamības metodes, kas veido apkopojošu statistiku katram mainīgajam</w:t>
      </w:r>
    </w:p>
    <w:p>
      <w:pPr>
        <w:pStyle w:val="Normal"/>
        <w:numPr>
          <w:ilvl w:val="1"/>
          <w:numId w:val="5"/>
        </w:numPr>
        <w:rPr>
          <w:rFonts w:ascii="Times New Roman" w:hAnsi="Times New Roman" w:eastAsia="Times New Roman" w:cs="Times New Roman"/>
          <w:b w:val="false"/>
          <w:b w:val="false"/>
          <w:i w:val="false"/>
          <w:i w:val="false"/>
          <w:caps w:val="false"/>
          <w:smallCaps w:val="false"/>
          <w:color w:val="auto"/>
          <w:spacing w:val="0"/>
          <w:kern w:val="0"/>
          <w:sz w:val="24"/>
          <w:szCs w:val="24"/>
          <w:lang w:val="lv-LV" w:eastAsia="en-US" w:bidi="ar-SA"/>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modēļu iekšējais stāvokli, piemēram, lineārās regresijas gadījumā mainīgo koeficienti, lēmumu koku vizuāla reprezentācija</w:t>
      </w:r>
    </w:p>
    <w:p>
      <w:pPr>
        <w:pStyle w:val="Normal"/>
        <w:numPr>
          <w:ilvl w:val="1"/>
          <w:numId w:val="5"/>
        </w:numPr>
        <w:rPr/>
      </w:pPr>
      <w:r>
        <w:rPr/>
        <w:t xml:space="preserve">Piemēru bāzētas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Modelim speficiska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Kritērijas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Avots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skaitu, apgalvo, ka eksistē 4 epizodes – pirmā paaudze (1977-1983), otrā paaudze (1984-1995), trešā paaudze (2011-līdz šim), izskaidrojamības “ziema” (1996-2010). Pirmās, otrās paaudzes laikā pētījumi tika veikti aktīvi, diemžēl, laukā izveidojās lielas skepse, kad ekspertu sistēmas nespēja attaisnot augstās cerības ekspertu sistēmās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Trešā paaudze ir raksturojama kā izskaidrojamības atdzimšana. Iepriekš jau tika minēts, ka pateicoties MI sistēmu veiksmēm dažādās nozares, ir atdzimusi interese par izskaidrojamību.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Radot pētījumu pieplūdumu izskaidrojamības nozarē.</w:t>
      </w:r>
    </w:p>
    <w:p>
      <w:pPr>
        <w:pStyle w:val="Normal"/>
        <w:ind w:left="0" w:right="0" w:hanging="0"/>
        <w:rPr/>
      </w:pPr>
      <w:r>
        <w:rPr>
          <w:rStyle w:val="StrongEmphasis"/>
          <w:b w:val="false"/>
          <w:bCs w:val="false"/>
        </w:rPr>
        <w:tab/>
        <w:t>Nākamajā nodaļā tiks apskatīts sarežģītības jēdziens, lai skaidrotu kādas īpašības piemīt optimālas sarežģītības modeļiem un izskaidrojumiem.</w:t>
      </w:r>
    </w:p>
    <w:p>
      <w:pPr>
        <w:pStyle w:val="Heading2"/>
        <w:numPr>
          <w:ilvl w:val="1"/>
          <w:numId w:val="4"/>
        </w:numPr>
        <w:rPr/>
      </w:pPr>
      <w:bookmarkStart w:id="18" w:name="__RefHeading___Toc50251_2182101473"/>
      <w:bookmarkEnd w:id="18"/>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spēja precīzi vispārināt uz nākotnes datiem (Guthke, </w:t>
      </w:r>
      <w:bookmarkStart w:id="19" w:name="wrcr23140-bib-0047R"/>
      <w:bookmarkEnd w:id="19"/>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20" w:name="wrcr23140-bib-0121R"/>
      <w:bookmarkEnd w:id="20"/>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rPr/>
      </w:pPr>
      <w:r>
        <w:rPr/>
        <w:t>Nākamajā nodaļā aplūkosim kādas ir stratēģijas modeļu sarežģītības samazināšanai.</w:t>
      </w:r>
    </w:p>
    <w:p>
      <w:pPr>
        <w:pStyle w:val="Normal"/>
        <w:ind w:left="0" w:right="0" w:hanging="0"/>
        <w:rPr/>
      </w:pPr>
      <w:r>
        <w:rPr/>
      </w:r>
      <w:r>
        <w:br w:type="page"/>
      </w:r>
    </w:p>
    <w:p>
      <w:pPr>
        <w:pStyle w:val="Normal"/>
        <w:ind w:left="0" w:right="0" w:hanging="0"/>
        <w:rPr/>
      </w:pPr>
      <w:r>
        <w:rPr/>
      </w:r>
    </w:p>
    <w:p>
      <w:pPr>
        <w:pStyle w:val="Heading2"/>
        <w:numPr>
          <w:ilvl w:val="1"/>
          <w:numId w:val="4"/>
        </w:numPr>
        <w:ind w:left="0" w:right="0" w:hanging="0"/>
        <w:jc w:val="center"/>
        <w:rPr/>
      </w:pPr>
      <w:bookmarkStart w:id="21" w:name="__RefHeading___Toc1901_1315397067"/>
      <w:bookmarkEnd w:id="21"/>
      <w:r>
        <w:rPr>
          <w:rFonts w:eastAsia="Times New Roman" w:cs="Arial"/>
          <w:b/>
          <w:bCs/>
          <w:iCs/>
          <w:color w:val="auto"/>
          <w:kern w:val="0"/>
          <w:sz w:val="28"/>
          <w:szCs w:val="28"/>
          <w:lang w:val="lv-LV" w:eastAsia="en-US" w:bidi="ar-SA"/>
        </w:rPr>
        <w:t>Stratēģijas</w:t>
      </w:r>
      <w:r>
        <w:rPr/>
        <w:t xml:space="preserve"> </w:t>
      </w:r>
      <w:r>
        <w:rPr>
          <w:rFonts w:eastAsia="Times New Roman" w:cs="Arial"/>
          <w:b/>
          <w:bCs/>
          <w:iCs/>
          <w:color w:val="auto"/>
          <w:kern w:val="0"/>
          <w:sz w:val="28"/>
          <w:szCs w:val="28"/>
          <w:lang w:val="lv-LV" w:eastAsia="en-US" w:bidi="ar-SA"/>
        </w:rPr>
        <w:t>sarežģītības samazināšanai koku modeļos</w:t>
      </w:r>
    </w:p>
    <w:p>
      <w:pPr>
        <w:pStyle w:val="Normal"/>
        <w:ind w:left="0" w:right="0" w:hanging="0"/>
        <w:rPr/>
      </w:pPr>
      <w:r>
        <w:rPr/>
        <w:tab/>
      </w:r>
      <w:r>
        <w:rPr>
          <w:rFonts w:eastAsia="Times New Roman" w:cs="Times New Roman"/>
          <w:color w:val="auto"/>
          <w:kern w:val="0"/>
          <w:sz w:val="24"/>
          <w:szCs w:val="24"/>
          <w:lang w:val="lv-LV" w:eastAsia="en-US" w:bidi="ar-SA"/>
        </w:rPr>
        <w:t xml:space="preserve">Koku modeļu sķēlumi (split) tiek veidota alkatīgā veidā. Tas veido neoptimālus lēmumu kokus </w:t>
      </w:r>
      <w:r>
        <w:rPr>
          <w:rFonts w:eastAsia="Times New Roman" w:cs="Times New Roman"/>
          <w:b w:val="false"/>
          <w:i w:val="false"/>
          <w:caps w:val="false"/>
          <w:smallCaps w:val="false"/>
          <w:color w:val="auto"/>
          <w:spacing w:val="0"/>
          <w:kern w:val="0"/>
          <w:sz w:val="24"/>
          <w:szCs w:val="24"/>
          <w:lang w:val="lv-LV" w:eastAsia="en-US" w:bidi="ar-SA"/>
        </w:rPr>
        <w:t>(Sreerama et al., 1995). Galvenais škērslis optimālu šķelumu izmantošanā ir palēlinājums lēmumu koku izveidē (</w:t>
      </w:r>
      <w:r>
        <w:rPr>
          <w:rFonts w:eastAsia="Times New Roman" w:cs="Times New Roman"/>
          <w:b w:val="false"/>
          <w:i w:val="false"/>
          <w:iCs w:val="false"/>
          <w:caps w:val="false"/>
          <w:smallCaps w:val="false"/>
          <w:color w:val="auto"/>
          <w:spacing w:val="0"/>
          <w:kern w:val="0"/>
          <w:sz w:val="24"/>
          <w:szCs w:val="24"/>
          <w:lang w:val="lv-LV" w:eastAsia="en-US" w:bidi="ar-SA"/>
        </w:rPr>
        <w:t xml:space="preserve">Hyafil et al,. 1976). </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val="false"/>
          <w:i w:val="false"/>
          <w:caps w:val="false"/>
          <w:smallCaps w:val="false"/>
          <w:color w:val="auto"/>
          <w:spacing w:val="0"/>
          <w:kern w:val="0"/>
          <w:sz w:val="24"/>
          <w:szCs w:val="24"/>
          <w:lang w:val="lv-LV" w:eastAsia="en-US" w:bidi="ar-SA"/>
        </w:rPr>
        <w:t xml:space="preserve">Koku modeļu sarežģītības samazināšanā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izpētes datu analīze,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palielinātā datoru skaitļosanas jaudai ar mūsdienu risinājumiem ir iespējams izveidot optimālas koku struktūras saprātīgā izskaitļošanas laikā (</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paŗāk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manuāli mašinapmācības praktiķim mainot modeļa parametrus intuitīvi un salīdzinot</w:t>
      </w:r>
      <w:r>
        <w:rPr>
          <w:lang w:val="lv-LV" w:eastAsia="en-US" w:bidi="ar-SA"/>
        </w:rPr>
        <w:t xml:space="preserve"> parametra izmaiņas ietekmi uz modeļa optimizācijas kritērija i</w:t>
      </w:r>
      <w:r>
        <w:rPr/>
        <w:t>zmaiņu.</w:t>
        <w:br/>
        <w:tab/>
      </w:r>
      <w:r>
        <w:rPr>
          <w:b/>
          <w:bCs/>
        </w:rPr>
        <w:t>Izpētes datu analīze</w:t>
      </w:r>
      <w:r>
        <w:rPr/>
        <w:t xml:space="preserve"> - Izpētes datu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grafikus ir iespējams noteikti vai mainīgajam nav tādas problēmas </w:t>
      </w:r>
      <w:r>
        <w:rPr>
          <w:rStyle w:val="Tojvnm2t"/>
        </w:rPr>
        <w:t xml:space="preserve">kā zema dispersijas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kurš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22" w:name="CITEREFSimpson,_Edward_H.195111"/>
      <w:bookmarkEnd w:id="22"/>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(scatterplot),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uzraudzītas mainīgo izvēles (supervised feature selection) metodes ir veids kā izvēlēties “lietderīgu” mainīgo apakškopas. Uzraudzītas mainīgo izvēles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izvēlas labāko mainīgo apakškopu analizējot ieejas datu īpašības, piemēram, dispersiju mainīgā vērtībām, mainīgo savstarpēju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1997). Aptinuma metodes galvenā ideja ir uzskatīt modeli par “melno kasti”. Aptinuma metodes izmanto mašīnapmācības modeļa mērķa mēru, lai aproksimētu mainīgo apakškopas lietderību. Teorētiski, ir iespējams aprēķināt visu mainīgo apakškopu “lietderību”, bet prakse šādas metodes izskaitļošanas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mainīga “lietderību”. Ietvertās metodes piemērs ir lēmumu koku izlasē, mainīgo svarīguma aprēķins – katram mainīgajam tiek saskaitīts cik liels ir summārais modeļa kritērija guvums no visiem šķelumiem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Rekursīva mainīgo izslēgšana tiks izmantota darba eksperimentā, lai noteiktu mainīgo izvēles metožu “efektivitāti” pēc kritērijiem par metodi sīkāk aprakstīts nodaļā 2.x (nav izveidota).</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Globālas izskaidrojamības metožu effektivitāte ir darba galvenais pētijuma priekšmets.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Nākamajā nodaļā tiks apskatīti praktiski piemēri MI sistēmu izstrādes vēsturē, kad MI praktiķi ir koncentrējušies uz MI sistēmu veiktspējas mēriem, nevis izskaidrojamību un sistēmas vērtības guvumu. Tiks paskaidrots kādi principi jāievēro, lai izveidotu vispārināmas, netrauslas MI sistēmas.</w:t>
      </w:r>
    </w:p>
    <w:p>
      <w:pPr>
        <w:pStyle w:val="Normal"/>
        <w:ind w:left="0" w:right="0" w:hanging="0"/>
        <w:rPr>
          <w:rStyle w:val="Tojvnm2t"/>
          <w:rFonts w:eastAsia="Times New Roman" w:cs="Times New Roman"/>
          <w:b w:val="false"/>
          <w:b w:val="false"/>
          <w:bCs w:val="false"/>
          <w:color w:val="auto"/>
          <w:kern w:val="0"/>
          <w:position w:val="0"/>
          <w:sz w:val="24"/>
          <w:sz w:val="24"/>
          <w:szCs w:val="24"/>
          <w:vertAlign w:val="baseline"/>
          <w:lang w:val="lv-LV" w:eastAsia="en-US" w:bidi="ar-SA"/>
        </w:rPr>
      </w:pPr>
      <w:r>
        <w:rPr>
          <w:rFonts w:eastAsia="Times New Roman" w:cs="Times New Roman"/>
          <w:b w:val="false"/>
          <w:bCs w:val="false"/>
          <w:color w:val="auto"/>
          <w:kern w:val="0"/>
          <w:position w:val="0"/>
          <w:sz w:val="24"/>
          <w:sz w:val="24"/>
          <w:szCs w:val="24"/>
          <w:vertAlign w:val="baseline"/>
          <w:lang w:val="lv-LV" w:eastAsia="en-US" w:bidi="ar-SA"/>
        </w:rPr>
      </w:r>
      <w:r>
        <w:br w:type="page"/>
      </w:r>
    </w:p>
    <w:p>
      <w:pPr>
        <w:pStyle w:val="Heading2"/>
        <w:numPr>
          <w:ilvl w:val="1"/>
          <w:numId w:val="4"/>
        </w:numPr>
        <w:rPr/>
      </w:pPr>
      <w:bookmarkStart w:id="23" w:name="__RefHeading___Toc52025_2182101473"/>
      <w:bookmarkEnd w:id="23"/>
      <w:r>
        <w:rPr>
          <w:rStyle w:val="Tojvnm2t"/>
        </w:rPr>
        <w:t>Anskomba kvartets</w:t>
      </w:r>
    </w:p>
    <w:p>
      <w:pPr>
        <w:pStyle w:val="Normal"/>
        <w:rPr/>
      </w:pPr>
      <w:r>
        <w:rPr>
          <w:rStyle w:val="Tojvnm2t"/>
        </w:rPr>
        <w:t>Mūsdienu mašīnapmācības priekšnācēji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tikumīgi,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mašīnapmācības praksē – modeļa optimizācijas funkcijas zaudējums un modeļu novērtēšans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nespēj precīzi attēlot produkcijas vidi vai īsto darbības effektivitāti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numPr>
          <w:ilvl w:val="1"/>
          <w:numId w:val="6"/>
        </w:numPr>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jūs i</w:t>
      </w:r>
      <w:r>
        <w:rPr>
          <w:rStyle w:val="Tojvnm2t"/>
          <w:rFonts w:eastAsia="Times New Roman" w:cs="Times New Roman"/>
          <w:color w:val="auto"/>
          <w:kern w:val="0"/>
          <w:sz w:val="24"/>
          <w:szCs w:val="24"/>
          <w:lang w:val="lv-LV" w:eastAsia="en-US" w:bidi="ar-SA"/>
        </w:rPr>
        <w:t>zvēlaties</w:t>
      </w:r>
      <w:r>
        <w:rPr>
          <w:rStyle w:val="Tojvnm2t"/>
        </w:rPr>
        <w:t xml:space="preserve"> 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w:t>
      </w:r>
    </w:p>
    <w:p>
      <w:pPr>
        <w:pStyle w:val="Normal"/>
        <w:numPr>
          <w:ilvl w:val="1"/>
          <w:numId w:val="6"/>
        </w:numPr>
        <w:rPr/>
      </w:pPr>
      <w:r>
        <w:rPr>
          <w:rStyle w:val="Tojvnm2t"/>
        </w:rPr>
        <w:t xml:space="preserve">Piemērs, augstums ir saistīts ar basketbola spējām un faktiski tieši palīdz, bet labākais spēlētājs ir tikai 190cm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6"/>
        </w:numPr>
        <w:rPr/>
      </w:pPr>
      <w:r>
        <w:rPr>
          <w:rStyle w:val="Tojvnm2t"/>
        </w:rPr>
        <w:t>Ekstremāls Gudharta likums</w:t>
      </w:r>
    </w:p>
    <w:p>
      <w:pPr>
        <w:pStyle w:val="Normal"/>
        <w:numPr>
          <w:ilvl w:val="1"/>
          <w:numId w:val="6"/>
        </w:numPr>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w:t>
      </w:r>
    </w:p>
    <w:p>
      <w:pPr>
        <w:pStyle w:val="Normal"/>
        <w:numPr>
          <w:ilvl w:val="1"/>
          <w:numId w:val="6"/>
        </w:numPr>
        <w:rPr/>
      </w:pPr>
      <w:r>
        <w:rPr/>
        <w:t>Piemērs, garākais cilvēks pasaulē Roberts Vadlovs bija 2,72m garš. Viņš nebūtu labs basketbola spēlētājs, jo hipofīzes dēļ viņam vajadzēja kāju iemauktus, lai spētu staigāt</w:t>
      </w:r>
    </w:p>
    <w:p>
      <w:pPr>
        <w:pStyle w:val="Normal"/>
        <w:numPr>
          <w:ilvl w:val="0"/>
          <w:numId w:val="6"/>
        </w:numPr>
        <w:rPr/>
      </w:pPr>
      <w:r>
        <w:rPr>
          <w:rStyle w:val="Tojvnm2t"/>
          <w:rFonts w:eastAsia="Times New Roman" w:cs="Times New Roman"/>
          <w:color w:val="auto"/>
          <w:kern w:val="0"/>
          <w:sz w:val="24"/>
          <w:szCs w:val="24"/>
          <w:lang w:val="lv-LV" w:eastAsia="en-US" w:bidi="ar-SA"/>
        </w:rPr>
        <w:t>Cēlonisks Gudharta likums</w:t>
      </w:r>
    </w:p>
    <w:p>
      <w:pPr>
        <w:pStyle w:val="Normal"/>
        <w:numPr>
          <w:ilvl w:val="1"/>
          <w:numId w:val="6"/>
        </w:numPr>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mēra</w:t>
      </w:r>
      <w:r>
        <w:rPr/>
        <w:t xml:space="preserve"> var </w:t>
      </w:r>
      <w:r>
        <w:rPr>
          <w:rFonts w:eastAsia="Times New Roman" w:cs="Times New Roman"/>
          <w:color w:val="auto"/>
          <w:kern w:val="0"/>
          <w:sz w:val="24"/>
          <w:szCs w:val="24"/>
          <w:lang w:val="lv-LV" w:eastAsia="en-US" w:bidi="ar-SA"/>
        </w:rPr>
        <w:t>nemainīt</w:t>
      </w:r>
      <w:r>
        <w:rPr/>
        <w:t xml:space="preserve"> mērķa mainīgo</w:t>
      </w:r>
    </w:p>
    <w:p>
      <w:pPr>
        <w:pStyle w:val="Normal"/>
        <w:numPr>
          <w:ilvl w:val="1"/>
          <w:numId w:val="6"/>
        </w:numPr>
        <w:rPr/>
      </w:pPr>
      <w:r>
        <w:rPr/>
        <w:t>Piemērs, kāds, kurš vēlas būt garāks, varētu novērot, ka augums ir saistīts ar basketbola prasmēm, un nolemt sākt praktizēt basketbolu, lai kļūtu garāks.</w:t>
      </w:r>
    </w:p>
    <w:p>
      <w:pPr>
        <w:pStyle w:val="Normal"/>
        <w:numPr>
          <w:ilvl w:val="0"/>
          <w:numId w:val="6"/>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1"/>
          <w:numId w:val="6"/>
        </w:numPr>
        <w:rPr/>
      </w:pPr>
      <w:bookmarkStart w:id="24" w:name="tw-target-text8"/>
      <w:bookmarkEnd w:id="24"/>
      <w:r>
        <w:rPr>
          <w:rStyle w:val="Tojvnm2t"/>
          <w:rFonts w:eastAsia="Times New Roman" w:cs="Times New Roman" w:ascii="Times New Roman" w:hAnsi="Times New Roman"/>
          <w:color w:val="auto"/>
          <w:kern w:val="0"/>
          <w:sz w:val="24"/>
          <w:szCs w:val="24"/>
          <w:lang w:val="lv-LV" w:eastAsia="en-US" w:bidi="ar-SA"/>
        </w:rPr>
        <w:t>Optimizējot aproksimējošo mēru, pretincisikiem aģenti ir iniciatīvi korelēt savu mērķi ar jūsu pilnvaru, tādējādi iznīcinot korelāciju ar jūsu mērķi.</w:t>
      </w:r>
    </w:p>
    <w:p>
      <w:pPr>
        <w:pStyle w:val="PreformattedText"/>
        <w:numPr>
          <w:ilvl w:val="1"/>
          <w:numId w:val="6"/>
        </w:numPr>
        <w:rPr/>
      </w:pPr>
      <w:bookmarkStart w:id="25" w:name="tw-target-text9"/>
      <w:bookmarkEnd w:id="25"/>
      <w:r>
        <w:rPr>
          <w:rStyle w:val="Tojvnm2t"/>
          <w:rFonts w:eastAsia="Times New Roman" w:cs="Times New Roman" w:ascii="Times New Roman" w:hAnsi="Times New Roman"/>
          <w:color w:val="auto"/>
          <w:kern w:val="0"/>
          <w:sz w:val="24"/>
          <w:szCs w:val="24"/>
          <w:lang w:val="lv-LV" w:eastAsia="en-US" w:bidi="ar-SA"/>
        </w:rPr>
        <w:t>Piemērs, Topošie basketbola spēlētāji var melot par savu augumu. Uzņēmuma darbinieki var sākt falsificēt vai negodīgi ziņot par datiem.</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ir apgalvojis,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precizitāte 65% pareiza pret kriminālistikā nepieredzējušu indivīdu </w:t>
      </w:r>
      <w:r>
        <w:rPr>
          <w:rStyle w:val="Tojvnm2t"/>
          <w:rFonts w:eastAsia="Times New Roman" w:cs="Times New Roman"/>
          <w:color w:val="auto"/>
          <w:kern w:val="0"/>
          <w:sz w:val="24"/>
          <w:szCs w:val="24"/>
          <w:lang w:val="lv-LV" w:eastAsia="en-US" w:bidi="ar-SA"/>
        </w:rPr>
        <w:t>precizitāti</w:t>
      </w:r>
      <w:r>
        <w:rPr>
          <w:rStyle w:val="Tojvnm2t"/>
        </w:rPr>
        <w:t xml:space="preserve"> – 63% pareizi. Likumsakarīgi, ka tas raisīja bažas par šāda modeļa lietderību un drošību </w:t>
      </w:r>
    </w:p>
    <w:p>
      <w:pPr>
        <w:pStyle w:val="Normal"/>
        <w:ind w:left="0" w:right="0" w:hanging="0"/>
        <w:rPr/>
      </w:pPr>
      <w:r>
        <w:rPr>
          <w:rStyle w:val="Tojvnm2t"/>
        </w:rPr>
        <w:t>(</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Avots </w:t>
      </w:r>
      <w:r>
        <w:rPr>
          <w:rStyle w:val="Tojvnm2t"/>
        </w:rPr>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w:t>
      </w:r>
      <w:r>
        <w:rPr>
          <w:rStyle w:val="Tojvnm2t"/>
          <w:rFonts w:eastAsia="Times New Roman" w:cs="Times New Roman"/>
          <w:color w:val="auto"/>
          <w:kern w:val="0"/>
          <w:sz w:val="24"/>
          <w:szCs w:val="24"/>
          <w:lang w:val="lv-LV" w:eastAsia="en-US" w:bidi="ar-SA"/>
        </w:rPr>
        <w:t xml:space="preserve"> </w:t>
      </w:r>
      <w:r>
        <w:rPr/>
        <w:t xml:space="preserve">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caurskatāma: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Nākamajā nodaļā tiks apskatītas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globālas izskaidrojamības metodes.</w:t>
      </w:r>
    </w:p>
    <w:p>
      <w:pPr>
        <w:pStyle w:val="Heading1"/>
        <w:numPr>
          <w:ilvl w:val="0"/>
          <w:numId w:val="4"/>
        </w:numPr>
        <w:ind w:left="1151" w:right="0" w:hanging="431"/>
        <w:rPr/>
      </w:pPr>
      <w:bookmarkStart w:id="26" w:name="__RefHeading___Toc50255_2182101473"/>
      <w:bookmarkEnd w:id="26"/>
      <w:r>
        <w:rPr>
          <w:rFonts w:eastAsia="Times New Roman" w:cs="Arial"/>
          <w:b/>
          <w:bCs/>
          <w:caps/>
          <w:color w:val="auto"/>
          <w:kern w:val="2"/>
          <w:sz w:val="28"/>
          <w:szCs w:val="32"/>
          <w:lang w:val="lv-LV" w:eastAsia="en-US" w:bidi="ar-SA"/>
        </w:rPr>
        <w:t>Globālas Izskaidrojamības metodes</w:t>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27" w:name="__RefHeading___Toc10763_4027635924"/>
      <w:bookmarkEnd w:id="27"/>
      <w:r>
        <w:rPr>
          <w:rFonts w:eastAsia="Times New Roman" w:cs="Arial"/>
          <w:b/>
          <w:bCs/>
          <w:iCs/>
          <w:color w:val="auto"/>
          <w:kern w:val="0"/>
          <w:sz w:val="28"/>
          <w:szCs w:val="28"/>
          <w:lang w:val="lv-LV" w:eastAsia="en-US" w:bidi="ar-SA"/>
        </w:rPr>
        <w:t>Filtra metodes</w:t>
      </w:r>
    </w:p>
    <w:p>
      <w:pPr>
        <w:pStyle w:val="Heading3"/>
        <w:numPr>
          <w:ilvl w:val="2"/>
          <w:numId w:val="7"/>
        </w:numPr>
        <w:rPr/>
      </w:pPr>
      <w:bookmarkStart w:id="28" w:name="__RefHeading___Toc10765_4027635924"/>
      <w:bookmarkEnd w:id="28"/>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Statistics in a nutshell, 2008</w:t>
      </w:r>
      <w:r>
        <w:rPr>
          <w:i/>
          <w:iCs/>
        </w:rPr>
        <w:t>)</w:t>
      </w:r>
      <w:r>
        <w:rPr/>
        <w:t>(dažreiz to dēvē par produkta un momenta korelācijas koeficientu no angļ. product-moment correlation coefficient) ir lineārā saistība starp diviem mainīgajiem. Pīrsona korelācijas koeficienta diapazons ir (−1, 1), ar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r>
        <w:br w:type="page"/>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5448935" cy="3416935"/>
                    </a:xfrm>
                    <a:prstGeom prst="rect">
                      <a:avLst/>
                    </a:prstGeom>
                  </pic:spPr>
                </pic:pic>
              </a:graphicData>
            </a:graphic>
          </wp:anchor>
        </w:drawing>
      </w:r>
      <w:r>
        <w:rPr/>
        <w:t>A</w:t>
      </w:r>
      <w:r>
        <w:rPr/>
        <w:t>tt. 3.1.   Izkliedes grafiks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 Eksperimentā tiek izmantota absolutā vērtība starp katru mainīgo un mērķi, lai noteiktu, cik svarīgs ir mainīgais.</w:t>
      </w:r>
    </w:p>
    <w:p>
      <w:pPr>
        <w:pStyle w:val="Normal"/>
        <w:ind w:left="0" w:right="0" w:hanging="0"/>
        <w:rPr/>
      </w:pPr>
      <w:r>
        <w:rPr/>
      </w:r>
      <w:r>
        <w:br w:type="page"/>
      </w:r>
    </w:p>
    <w:p>
      <w:pPr>
        <w:pStyle w:val="Normal"/>
        <w:ind w:left="0" w:right="0" w:hanging="0"/>
        <w:rPr/>
      </w:pPr>
      <w:r>
        <w:rPr/>
      </w:r>
    </w:p>
    <w:p>
      <w:pPr>
        <w:pStyle w:val="Heading3"/>
        <w:numPr>
          <w:ilvl w:val="2"/>
          <w:numId w:val="8"/>
        </w:numPr>
        <w:ind w:left="0" w:right="0" w:hanging="0"/>
        <w:jc w:val="center"/>
        <w:rPr/>
      </w:pPr>
      <w:bookmarkStart w:id="29" w:name="__RefHeading___Toc12892_4027635924"/>
      <w:bookmarkEnd w:id="29"/>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koeficients</w:t>
      </w:r>
      <w:r>
        <w:rPr>
          <w:i w:val="false"/>
          <w:iCs w:val="false"/>
        </w:rPr>
        <w:t xml:space="preserve"> (Corder &amp; Foreman, Nonparametric Statistics for Non-Statisticians A Step-by-Step Approach,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8"/>
        </w:numPr>
        <w:ind w:left="0" w:right="0" w:hanging="0"/>
        <w:jc w:val="center"/>
        <w:rPr>
          <w:rFonts w:ascii="Times New Roman" w:hAnsi="Times New Roman" w:eastAsia="Times New Roman" w:cs="Arial"/>
          <w:b/>
          <w:b/>
          <w:bCs/>
          <w:color w:val="auto"/>
          <w:kern w:val="0"/>
          <w:sz w:val="24"/>
          <w:szCs w:val="26"/>
          <w:lang w:val="lv-LV" w:eastAsia="en-US" w:bidi="ar-SA"/>
        </w:rPr>
      </w:pPr>
      <w:bookmarkStart w:id="30" w:name="__RefHeading___Toc5993_1926664601"/>
      <w:bookmarkEnd w:id="30"/>
      <w:r>
        <w:rPr>
          <w:rFonts w:eastAsia="Times New Roman" w:cs="Arial"/>
          <w:b/>
          <w:bCs/>
          <w:color w:val="auto"/>
          <w:kern w:val="0"/>
          <w:sz w:val="24"/>
          <w:szCs w:val="26"/>
          <w:lang w:val="lv-LV" w:eastAsia="en-US" w:bidi="ar-SA"/>
        </w:rPr>
        <w:t>Kendala  rangu korelāciajs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koeficients tiek izmantots, lai izvērtētu lineāru vai nelineāru monotonu dilstošu vai augošu attiecību spēku starp 2 mainīgajiem, koeficients ir simetrisks. Eksperimentā tiek izmantota absolutā vērtība starp katru mainīgo un mērķi, lai noteiktu, cik svarīgs ir mainīgais.</w:t>
      </w:r>
      <w:r>
        <w:br w:type="page"/>
      </w:r>
    </w:p>
    <w:p>
      <w:pPr>
        <w:pStyle w:val="Normal"/>
        <w:ind w:left="0" w:right="0" w:hanging="0"/>
        <w:rPr/>
      </w:pPr>
      <w:r>
        <w:rPr/>
      </w:r>
    </w:p>
    <w:p>
      <w:pPr>
        <w:pStyle w:val="Heading3"/>
        <w:numPr>
          <w:ilvl w:val="2"/>
          <w:numId w:val="8"/>
        </w:numPr>
        <w:ind w:left="0" w:right="0" w:hanging="0"/>
        <w:jc w:val="center"/>
        <w:rPr>
          <w:rFonts w:eastAsia="Times New Roman" w:cs="Arial"/>
          <w:b/>
          <w:b/>
          <w:bCs/>
          <w:iCs/>
          <w:color w:val="auto"/>
          <w:kern w:val="0"/>
          <w:sz w:val="28"/>
          <w:szCs w:val="28"/>
          <w:lang w:val="lv-LV" w:eastAsia="en-US" w:bidi="ar-SA"/>
        </w:rPr>
      </w:pPr>
      <w:bookmarkStart w:id="31" w:name="__RefHeading___Toc5995_1926664601"/>
      <w:bookmarkEnd w:id="31"/>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treniņa datus pēc mērķa mainīgā, lai pārbaudītu rezultātu uzticamību. Izskaidrojums pieejams: </w:t>
      </w:r>
      <w:hyperlink r:id="rId5">
        <w:r>
          <w:rPr>
            <w:rStyle w:val="InternetLink"/>
            <w:lang w:val="lv-LV"/>
          </w:rPr>
          <w:t>https://www.sr-sv.com/the-predictive-power-score/</w:t>
        </w:r>
      </w:hyperlink>
    </w:p>
    <w:p>
      <w:pPr>
        <w:pStyle w:val="Normal"/>
        <w:ind w:left="0" w:right="0" w:hanging="0"/>
        <w:rPr>
          <w:lang w:val="lv-LV"/>
        </w:rPr>
      </w:pPr>
      <w:r>
        <w:rPr>
          <w:lang w:val="lv-LV"/>
        </w:rPr>
        <w:t>Viena no interesantajām īpašībām PPS ir, ka tas spēj attēlot asimetriskas attiecības.</w:t>
      </w:r>
    </w:p>
    <w:p>
      <w:pPr>
        <w:pStyle w:val="Normal"/>
        <w:ind w:left="0" w:right="0" w:hanging="0"/>
        <w:jc w:val="center"/>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6"/>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Attēlā redzams, ka x, y korelācija ir 0.67, bet y, x korelācija ir 0. X var paredzēt y labi, jo ir deterministiska kvadrātiska attiecība, bet Y nespēj paredzēt X, jo, teiksim, kad Y ir 4 ir grūti pateikt vai X ir aptuveni -2 vai 2 (vienam Y punktam pieder 2 X punkti, kas izraisa nepārliecību par Y vērtību). Šī īpašība nav svarīga eksperimentā, bet var būt lietderīga citās situācijās.</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8"/>
        </w:numPr>
        <w:ind w:left="0" w:right="0" w:hanging="0"/>
        <w:jc w:val="center"/>
        <w:rPr>
          <w:rFonts w:ascii="Times New Roman" w:hAnsi="Times New Roman" w:eastAsia="Times New Roman" w:cs="Arial"/>
          <w:b/>
          <w:b/>
          <w:bCs/>
          <w:iCs/>
          <w:color w:val="auto"/>
          <w:kern w:val="0"/>
          <w:sz w:val="28"/>
          <w:szCs w:val="28"/>
          <w:lang w:val="lv-LV" w:eastAsia="en-US" w:bidi="ar-SA"/>
        </w:rPr>
      </w:pPr>
      <w:bookmarkStart w:id="32" w:name="__RefHeading___Toc6003_1926664601"/>
      <w:bookmarkEnd w:id="32"/>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rPr/>
      </w:pPr>
      <w:r>
        <w:rPr/>
        <w:t xml:space="preserve">Abpusējas informācijas mērs (mutual information)  </w:t>
      </w:r>
      <w:r>
        <w:rPr>
          <w:i w:val="false"/>
          <w:iCs w:val="false"/>
        </w:rPr>
        <w:t xml:space="preserve">(Cover &amp; Thomas, 1991) </w:t>
      </w:r>
      <w:r>
        <w:rPr/>
        <w:t xml:space="preserve">mēra “informācijas” daudzumu </w:t>
      </w:r>
    </w:p>
    <w:p>
      <w:pPr>
        <w:pStyle w:val="Normal"/>
        <w:ind w:left="0" w:right="0" w:hanging="0"/>
        <w:rPr/>
      </w:pPr>
      <w:r>
        <w:rPr/>
        <w:t>kurš pieder vienam mainīgajam par otru mainīgo. To arī var aprakstīt kā nenoteiktības (uncertainty) mazinājumu vienam mainīgajam par otru zināšanu dēļ.</w:t>
      </w:r>
    </w:p>
    <w:p>
      <w:pPr>
        <w:pStyle w:val="Normal"/>
        <w:ind w:left="0" w:right="0" w:hanging="0"/>
        <w:rPr/>
      </w:pPr>
      <w:r>
        <w:rPr/>
        <w:t>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pPr>
      <w:bookmarkStart w:id="33" w:name="__RefHeading___Toc8327_1926664601"/>
      <w:bookmarkEnd w:id="33"/>
      <w:r>
        <w:rPr/>
        <w:t>Determinācijas koeficients un ANOVA</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color w:val="auto"/>
          <w:kern w:val="0"/>
          <w:sz w:val="24"/>
          <w:szCs w:val="24"/>
          <w:lang w:val="lv-LV" w:eastAsia="en-US" w:bidi="ar-SA"/>
        </w:rPr>
        <w:t>metodi, lai noteiktu cik labi mainīgais spēj atdalīt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ab/>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4" w:name="__RefHeading___Toc8329_1926664601"/>
      <w:bookmarkEnd w:id="34"/>
      <w:r>
        <w:rPr>
          <w:rFonts w:eastAsia="Times New Roman" w:cs="Arial"/>
          <w:b/>
          <w:bCs/>
          <w:iCs/>
          <w:color w:val="auto"/>
          <w:kern w:val="0"/>
          <w:sz w:val="28"/>
          <w:szCs w:val="28"/>
          <w:lang w:val="lv-LV" w:eastAsia="en-US" w:bidi="ar-SA"/>
        </w:rPr>
        <w:t>Ietvertās  metodes</w:t>
      </w:r>
    </w:p>
    <w:p>
      <w:pPr>
        <w:pStyle w:val="Heading3"/>
        <w:numPr>
          <w:ilvl w:val="2"/>
          <w:numId w:val="9"/>
        </w:numPr>
        <w:rPr/>
      </w:pPr>
      <w:bookmarkStart w:id="35" w:name="__RefHeading___Toc8331_1926664601"/>
      <w:bookmarkEnd w:id="35"/>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The Elements of Statistical learning, 2009)</w:t>
      </w:r>
      <w:r>
        <w:rPr>
          <w:rFonts w:eastAsia="Times New Roman" w:cs="Arial"/>
          <w:b w:val="false"/>
          <w:bCs w:val="false"/>
          <w:iCs/>
          <w:color w:val="auto"/>
          <w:kern w:val="0"/>
          <w:sz w:val="24"/>
          <w:szCs w:val="24"/>
          <w:lang w:val="lv-LV" w:eastAsia="en-US" w:bidi="ar-SA"/>
        </w:rPr>
        <w:t xml:space="preserve">. Šo guvumu apkopo pa visiem kokiem un sarēķina katram mainīgajam atsevišķi. </w:t>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Breimans (Breiman, 2001) definējā kā izvērtēt mainīgo svarīgumu lēmumu kokos.</w:t>
      </w:r>
    </w:p>
    <w:p>
      <w:pPr>
        <w:pStyle w:val="Normal"/>
        <w:rPr/>
      </w:pPr>
      <w:r>
        <w:rPr>
          <w:rFonts w:eastAsia="Times New Roman" w:cs="Arial"/>
          <w:b w:val="false"/>
          <w:bCs w:val="false"/>
          <w:iCs/>
          <w:color w:val="auto"/>
          <w:kern w:val="0"/>
          <w:sz w:val="24"/>
          <w:szCs w:val="24"/>
          <w:lang w:val="lv-LV" w:eastAsia="en-US" w:bidi="ar-SA"/>
        </w:rPr>
        <w:t>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indetifikators mainigajam, kas izmantots, lai sadalītu koku zaru t</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6" w:name="__RefHeading___Toc8333_1926664601"/>
      <w:bookmarkEnd w:id="36"/>
      <w:r>
        <w:rPr>
          <w:rFonts w:eastAsia="Times New Roman" w:cs="Arial"/>
          <w:b/>
          <w:bCs/>
          <w:iCs/>
          <w:color w:val="auto"/>
          <w:kern w:val="0"/>
          <w:sz w:val="28"/>
          <w:szCs w:val="28"/>
          <w:lang w:val="lv-LV" w:eastAsia="en-US" w:bidi="ar-SA"/>
        </w:rPr>
        <w:t>Aptinuma metodes</w:t>
      </w:r>
    </w:p>
    <w:p>
      <w:pPr>
        <w:pStyle w:val="Heading3"/>
        <w:numPr>
          <w:ilvl w:val="2"/>
          <w:numId w:val="2"/>
        </w:numPr>
        <w:ind w:left="6675" w:right="0" w:firstLine="720"/>
        <w:rPr>
          <w:rFonts w:eastAsia="Times New Roman" w:cs="Arial"/>
          <w:b/>
          <w:b/>
          <w:bCs/>
          <w:iCs/>
          <w:color w:val="auto"/>
          <w:kern w:val="0"/>
          <w:sz w:val="28"/>
          <w:szCs w:val="28"/>
          <w:lang w:val="lv-LV" w:eastAsia="en-US" w:bidi="ar-SA"/>
        </w:rPr>
      </w:pPr>
      <w:bookmarkStart w:id="37" w:name="__RefHeading___Toc8335_1926664601"/>
      <w:bookmarkEnd w:id="37"/>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2"/>
        </w:numPr>
        <w:ind w:left="6675" w:right="0" w:firstLine="720"/>
        <w:rPr/>
      </w:pPr>
      <w:bookmarkStart w:id="38" w:name="__RefHeading___Toc1907_3704354823"/>
      <w:bookmarkEnd w:id="38"/>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10"/>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10"/>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10"/>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10"/>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7"/>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9" w:name="MJXc-Node-7981"/>
      <w:bookmarkStart w:id="40" w:name="MJXc-Node-7991"/>
      <w:bookmarkStart w:id="41" w:name="MJXc-Node-7971"/>
      <w:bookmarkEnd w:id="39"/>
      <w:bookmarkEnd w:id="40"/>
      <w:bookmarkEnd w:id="41"/>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42" w:name="__RefHeading___Toc1911_3704354823"/>
      <w:bookmarkEnd w:id="42"/>
      <w:r>
        <w:rPr/>
        <w:t>Hibrīdmetodes</w:t>
      </w:r>
    </w:p>
    <w:p>
      <w:pPr>
        <w:pStyle w:val="Heading3"/>
        <w:numPr>
          <w:ilvl w:val="2"/>
          <w:numId w:val="2"/>
        </w:numPr>
        <w:ind w:left="6675" w:right="0" w:firstLine="720"/>
        <w:rPr/>
      </w:pPr>
      <w:bookmarkStart w:id="43" w:name="__RefHeading___Toc1913_3704354823"/>
      <w:bookmarkEnd w:id="43"/>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“Applied Predictive Modeling”,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p>
    <w:p>
      <w:pPr>
        <w:pStyle w:val="Normal"/>
        <w:ind w:left="0" w:right="0" w:hanging="0"/>
        <w:rPr/>
      </w:pPr>
      <w:r>
        <w:rPr/>
        <w:tab/>
        <w:t>Nākamajā nodaļā tiks apskatītas lēmumu koku algoritmu veidu un darbības principi.</w:t>
      </w:r>
      <w:r>
        <w:br w:type="page"/>
      </w:r>
    </w:p>
    <w:p>
      <w:pPr>
        <w:pStyle w:val="Heading1"/>
        <w:numPr>
          <w:ilvl w:val="0"/>
          <w:numId w:val="4"/>
        </w:numPr>
        <w:ind w:left="1151" w:right="0" w:hanging="431"/>
        <w:rPr/>
      </w:pPr>
      <w:bookmarkStart w:id="44" w:name="__RefHeading___Toc50257_2182101473"/>
      <w:bookmarkEnd w:id="44"/>
      <w:r>
        <w:rPr>
          <w:rFonts w:eastAsia="Times New Roman" w:cs="Arial"/>
          <w:b/>
          <w:bCs/>
          <w:caps/>
          <w:color w:val="auto"/>
          <w:kern w:val="2"/>
          <w:sz w:val="28"/>
          <w:szCs w:val="32"/>
          <w:lang w:val="lv-LV" w:eastAsia="en-US" w:bidi="ar-SA"/>
        </w:rPr>
        <w:t xml:space="preserve">Klasifikācijas un Regresijas lēmumu koku </w:t>
      </w:r>
      <w:r>
        <w:rPr/>
        <w:t>algoritmi (CART)</w:t>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5" w:name="__RefHeading___Toc10767_4027635924"/>
      <w:bookmarkEnd w:id="45"/>
      <w:r>
        <w:rPr>
          <w:rFonts w:eastAsia="Times New Roman" w:cs="Times New Roman"/>
          <w:b/>
          <w:bCs/>
          <w:iCs/>
          <w:color w:val="auto"/>
          <w:kern w:val="0"/>
          <w:sz w:val="24"/>
          <w:szCs w:val="24"/>
          <w:lang w:val="lv-LV" w:eastAsia="en-US" w:bidi="ar-SA"/>
        </w:rPr>
        <w:t>Lēmumu koki</w:t>
      </w:r>
    </w:p>
    <w:p>
      <w:pPr>
        <w:pStyle w:val="Normal"/>
        <w:ind w:left="0" w:right="0" w:hanging="0"/>
        <w:rPr/>
      </w:pPr>
      <w:r>
        <w:rPr>
          <w:rStyle w:val="Quotation"/>
          <w:i w:val="false"/>
          <w:iCs w:val="false"/>
        </w:rPr>
        <w:tab/>
        <w:t>Nodaļa 2.1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(angl. Classfication and regression trees) algoritms ir lēmumu koku bāzēta metode, lai sadalītu mainīgo “telpu” taisnstūros un taisntūru apakštelpai izveidotu ļoti vienkāršus modeļus (konstants modelis, apakštelpai paredz konstantu rezultātu).  Tiek veikti rekursīvi bināri lēmumi alkatīgi (greedy) izvēloties mainīgo, kas maksimizē vai minimizē mūsu izvēlēto kritēriju (parasti, klasifikācijas uzdevumos - džinī netīrības mērs (gini impurity), regresijas uzdevumos - vidējā kvadrātiskā kļūda). Process turpinās līdz tiek sasniegts kāds apstādināšanas kritērijs (beidzas datu punkti kurus sašķelt vai arī pārsniegts kāds no modēļa ierobēžojumiem, piemēram, koka dzīļums). </w:t>
      </w:r>
    </w:p>
    <w:p>
      <w:pPr>
        <w:pStyle w:val="Normal"/>
        <w:rPr/>
      </w:pPr>
      <w:r>
        <w:rPr/>
        <w:tab/>
        <w:t>Ieskatīsimies dziļāk principos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ab/>
        <w:t xml:space="preserve">Atrast labāko bināro apakštelpu kopu minimizējot kvadrātisko summu ir, praktiski neiespējami izskaitļot, tāpēc tiek implementēts alkatīgs (greedy) algoritms, kurš izskata tikai nākamo līmeni (šķēlumu), nevis mēģina uzbūvēt globāli optimālus lēmumu kokus. Lai atrastu nākamo bināro šķēlumu tiek izvēlēts kvadratiskās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rPr/>
      </w:pPr>
      <w:r>
        <w:rPr/>
        <w:tab/>
        <w:t>Lai algoritms strādātu klasifikācijas lēmumu kokiem vienīgā izmaiņa, kas jāveic ir šķēlumu kritērija maiņa uz džinī netīrības mēru (gini impurity)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aprakstīts 3.1 nodaļā.</w:t>
      </w:r>
    </w:p>
    <w:p>
      <w:pPr>
        <w:pStyle w:val="Normal"/>
        <w:ind w:left="0" w:right="0" w:hanging="0"/>
        <w:rPr/>
      </w:pPr>
      <w:r>
        <w:rPr/>
        <w:t>Viens no vislielākajiem trūkumiem lēmumu kokiem ir pārāk liela pielāgošanās (overfitting) mācību datiem, praktiski, “iegaumējot” datus nevis attēlojot  vispārināmas saistības starp mainīgajiem. Šo problēmu risina lēmumu koku izlases, kuras aprakstītas nākamajā nodaļā.</w:t>
      </w:r>
    </w:p>
    <w:p>
      <w:pPr>
        <w:pStyle w:val="Normal"/>
        <w:rPr/>
      </w:pPr>
      <w:r>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6" w:name="__RefHeading___Toc10996_37578795471"/>
      <w:bookmarkEnd w:id="46"/>
      <w:r>
        <w:rPr>
          <w:rFonts w:eastAsia="Times New Roman" w:cs="Times New Roman"/>
          <w:b/>
          <w:bCs/>
          <w:iCs/>
          <w:color w:val="auto"/>
          <w:kern w:val="0"/>
          <w:sz w:val="24"/>
          <w:szCs w:val="24"/>
          <w:lang w:val="lv-LV" w:eastAsia="en-US" w:bidi="ar-SA"/>
        </w:rPr>
        <w:t>Lēmumu koku izlase</w:t>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“sarezģītību”, nevis pārāk stipri pielāgoties datiem kā to dara lēmumu koki ir:</w:t>
      </w:r>
    </w:p>
    <w:p>
      <w:pPr>
        <w:pStyle w:val="Normal"/>
        <w:numPr>
          <w:ilvl w:val="0"/>
          <w:numId w:val="11"/>
        </w:numPr>
        <w:rPr/>
      </w:pPr>
      <w:r>
        <w:rPr/>
        <w:t>Lēmumu koku izlasēs apmācot lēmumu kokus izmanto nejauši izvēlētu mācību datu apakškopu nevis pilnu mācību datu kopu</w:t>
      </w:r>
    </w:p>
    <w:p>
      <w:pPr>
        <w:pStyle w:val="Normal"/>
        <w:numPr>
          <w:ilvl w:val="0"/>
          <w:numId w:val="11"/>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 xml:space="preserve">Vizuāla reprezentācijas lēmumu koka izlasei ir redzama attēlā 1.1. Dziļākai izpratnei par matemātiskajiem principiem ir iespējams iegūt </w:t>
      </w:r>
      <w:r>
        <w:rPr>
          <w:i w:val="false"/>
          <w:iCs w:val="false"/>
        </w:rPr>
        <w:t>(</w:t>
      </w:r>
      <w:r>
        <w:rPr>
          <w:rStyle w:val="Quotation"/>
          <w:i w:val="false"/>
          <w:iCs w:val="false"/>
        </w:rPr>
        <w:t xml:space="preserve">Louppe, 2014) 4. nodaļā </w:t>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010150" cy="3014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7" w:name="__RefHeading___Toc10998_37578795473"/>
      <w:bookmarkEnd w:id="47"/>
      <w:r>
        <w:rPr>
          <w:rFonts w:eastAsia="Times New Roman" w:cs="Times New Roman"/>
          <w:b/>
          <w:bCs/>
          <w:iCs/>
          <w:color w:val="auto"/>
          <w:kern w:val="0"/>
          <w:sz w:val="24"/>
          <w:szCs w:val="24"/>
          <w:lang w:val="lv-LV" w:eastAsia="en-US" w:bidi="ar-SA"/>
        </w:rPr>
        <w:t>Gradienta stiprinoša lēmumu koku izlase</w:t>
      </w:r>
    </w:p>
    <w:p>
      <w:pPr>
        <w:pStyle w:val="Normal"/>
        <w:ind w:left="0" w:right="0" w:hanging="0"/>
        <w:rPr/>
      </w:pPr>
      <w:r>
        <w:rPr>
          <w:rStyle w:val="Quotation"/>
        </w:rPr>
        <w:tab/>
      </w:r>
      <w:r>
        <w:rPr/>
        <w:t xml:space="preserve">Līdzīgi kā lēmumu koku izlasēs metode,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ideja GBDT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kur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stradā tā, lai jaunie lēmuma koki būtu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2"/>
        </w:numPr>
        <w:rPr/>
      </w:pPr>
      <w:r>
        <w:rPr/>
        <w:t>ieejas dati (x, y)</w:t>
      </w:r>
    </w:p>
    <w:p>
      <w:pPr>
        <w:pStyle w:val="Normal"/>
        <w:numPr>
          <w:ilvl w:val="0"/>
          <w:numId w:val="12"/>
        </w:numPr>
        <w:rPr/>
      </w:pPr>
      <w:r>
        <w:rPr/>
        <w:t>iterāciju skaits M</w:t>
      </w:r>
    </w:p>
    <w:p>
      <w:pPr>
        <w:pStyle w:val="Normal"/>
        <w:numPr>
          <w:ilvl w:val="0"/>
          <w:numId w:val="12"/>
        </w:numPr>
        <w:rPr/>
      </w:pPr>
      <w:r>
        <w:rPr/>
        <w:t>zaudējuma funkcijai phi (y, f)</w:t>
      </w:r>
    </w:p>
    <w:p>
      <w:pPr>
        <w:pStyle w:val="Normal"/>
        <w:numPr>
          <w:ilvl w:val="0"/>
          <w:numId w:val="12"/>
        </w:numPr>
        <w:rPr/>
      </w:pPr>
      <w:r>
        <w:rPr/>
        <w:t>modeļa izvēle h(x, theta)</w:t>
      </w:r>
    </w:p>
    <w:p>
      <w:pPr>
        <w:pStyle w:val="Normal"/>
        <w:ind w:left="2160" w:right="0" w:hanging="0"/>
        <w:rPr/>
      </w:pPr>
      <w:r>
        <w:rPr/>
        <w:t>Algoritms:</w:t>
      </w:r>
    </w:p>
    <w:p>
      <w:pPr>
        <w:pStyle w:val="Normal"/>
        <w:numPr>
          <w:ilvl w:val="0"/>
          <w:numId w:val="13"/>
        </w:numPr>
        <w:rPr/>
      </w:pPr>
      <w:r>
        <w:rPr/>
        <w:t>Inicializē sākuma modeli f sub 0 ar konstanti (vidējā vērtība regresijai, populārākā klase klasifikācijai)</w:t>
      </w:r>
    </w:p>
    <w:p>
      <w:pPr>
        <w:pStyle w:val="Normal"/>
        <w:numPr>
          <w:ilvl w:val="0"/>
          <w:numId w:val="13"/>
        </w:numPr>
        <w:rPr/>
      </w:pPr>
      <w:r>
        <w:rPr/>
        <w:t>līdz sasniegts iterāciju limits M darīt:</w:t>
      </w:r>
    </w:p>
    <w:p>
      <w:pPr>
        <w:pStyle w:val="Normal"/>
        <w:numPr>
          <w:ilvl w:val="1"/>
          <w:numId w:val="13"/>
        </w:numPr>
        <w:rPr/>
      </w:pPr>
      <w:r>
        <w:rPr/>
        <w:t>aprēķini negatīvo gradienta vērtību</w:t>
      </w:r>
    </w:p>
    <w:p>
      <w:pPr>
        <w:pStyle w:val="Normal"/>
        <w:numPr>
          <w:ilvl w:val="1"/>
          <w:numId w:val="13"/>
        </w:numPr>
        <w:rPr/>
      </w:pPr>
      <w:r>
        <w:rPr/>
        <w:t>apmāca jaunu izvēlēto modeli</w:t>
      </w:r>
    </w:p>
    <w:p>
      <w:pPr>
        <w:pStyle w:val="Normal"/>
        <w:numPr>
          <w:ilvl w:val="1"/>
          <w:numId w:val="13"/>
        </w:numPr>
        <w:rPr/>
      </w:pPr>
      <w:r>
        <w:rPr/>
        <w:t xml:space="preserve">atrod labāko gradienta nolaišanas (gradient descent) soļa izmēru </w:t>
      </w:r>
    </w:p>
    <w:p>
      <w:pPr>
        <w:pStyle w:val="Normal"/>
        <w:numPr>
          <w:ilvl w:val="1"/>
          <w:numId w:val="13"/>
        </w:numPr>
        <w:rPr/>
      </w:pPr>
      <w:r>
        <w:rPr/>
        <w:t>atjauno funkcijas aproksimāciju ņemot vērā jaunā izvēlētā modeļa atlikumu (residual)</w:t>
      </w:r>
    </w:p>
    <w:p>
      <w:pPr>
        <w:pStyle w:val="Normal"/>
        <w:ind w:left="1800" w:right="0" w:hanging="0"/>
        <w:rPr>
          <w:rFonts w:eastAsia="Times New Roman" w:cs="Arial"/>
          <w:b/>
          <w:b/>
          <w:bCs/>
          <w:iCs/>
          <w:color w:val="auto"/>
          <w:kern w:val="0"/>
          <w:sz w:val="28"/>
          <w:szCs w:val="28"/>
          <w:lang w:val="lv-LV" w:eastAsia="en-US" w:bidi="ar-SA"/>
        </w:rPr>
      </w:pPr>
      <w:r>
        <w:rPr/>
        <w:t>Dziļāku izskaidrojumu iespējams atrast (Friedman, 2001).</w:t>
      </w:r>
      <w:r>
        <w:br w:type="page"/>
      </w:r>
    </w:p>
    <w:p>
      <w:pPr>
        <w:pStyle w:val="Heading1"/>
        <w:numPr>
          <w:ilvl w:val="0"/>
          <w:numId w:val="4"/>
        </w:numPr>
        <w:rPr/>
      </w:pPr>
      <w:bookmarkStart w:id="48" w:name="__RefHeading___Toc50261_2182101473"/>
      <w:bookmarkEnd w:id="48"/>
      <w:r>
        <w:rPr/>
        <w:t>Eksperimenti Globālo izskaidrojamības</w:t>
      </w:r>
      <w:r>
        <w:rPr>
          <w:rFonts w:eastAsia="Times New Roman" w:cs="Arial"/>
          <w:b/>
          <w:bCs/>
          <w:caps/>
          <w:color w:val="auto"/>
          <w:kern w:val="2"/>
          <w:sz w:val="28"/>
          <w:szCs w:val="32"/>
          <w:lang w:val="lv-LV" w:eastAsia="en-US" w:bidi="ar-SA"/>
        </w:rPr>
        <w:t xml:space="preserve"> Metožu</w:t>
      </w:r>
      <w:r>
        <w:rPr/>
        <w:t xml:space="preserve"> Efektīvitātes noteikšanai</w:t>
      </w:r>
    </w:p>
    <w:p>
      <w:pPr>
        <w:pStyle w:val="Heading2"/>
        <w:numPr>
          <w:ilvl w:val="1"/>
          <w:numId w:val="4"/>
        </w:numPr>
        <w:rPr/>
      </w:pPr>
      <w:bookmarkStart w:id="49" w:name="__RefHeading___Toc50263_2182101473"/>
      <w:bookmarkEnd w:id="49"/>
      <w:r>
        <w:rPr/>
        <w:t>Izmantotās datu kopas un to pirmsapstrāde</w:t>
      </w:r>
    </w:p>
    <w:p>
      <w:pPr>
        <w:pStyle w:val="TextBody"/>
        <w:ind w:left="0" w:right="0" w:hanging="0"/>
        <w:rPr/>
      </w:pPr>
      <w:r>
        <w:rPr/>
        <w:tab/>
        <w:t>Datu kopas tiek apstrādātas ar šādu loģiku:</w:t>
      </w:r>
    </w:p>
    <w:p>
      <w:pPr>
        <w:pStyle w:val="TextBody"/>
        <w:numPr>
          <w:ilvl w:val="0"/>
          <w:numId w:val="14"/>
        </w:numPr>
        <w:rPr/>
      </w:pPr>
      <w:r>
        <w:rPr/>
        <w:t>Visus kategoriskos (categorical) mainīgos kodē ar apzīmējuma kodējumu (label encode)</w:t>
      </w:r>
    </w:p>
    <w:p>
      <w:pPr>
        <w:pStyle w:val="TextBody"/>
        <w:numPr>
          <w:ilvl w:val="0"/>
          <w:numId w:val="14"/>
        </w:numPr>
        <w:rPr/>
      </w:pPr>
      <w:r>
        <w:rPr/>
        <w:t>Nepārtrauktos mainīgos ar trūkstošām vērtībām pārvēršs kategoriskajos mainīgajos ar papildus klasi – trūkstošo vērtību klasi</w:t>
      </w:r>
    </w:p>
    <w:p>
      <w:pPr>
        <w:pStyle w:val="TextBody"/>
        <w:numPr>
          <w:ilvl w:val="0"/>
          <w:numId w:val="14"/>
        </w:numPr>
        <w:rPr/>
      </w:pPr>
      <w:r>
        <w:rPr/>
        <w:t xml:space="preserve">Nepārtrauktie mainīgie bez trūkstošām vērtībām tiek izmantoti modelī bez papildus darbībām </w:t>
      </w:r>
    </w:p>
    <w:p>
      <w:pPr>
        <w:pStyle w:val="TextBody"/>
        <w:numPr>
          <w:ilvl w:val="0"/>
          <w:numId w:val="14"/>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TextBody"/>
        <w:numPr>
          <w:ilvl w:val="0"/>
          <w:numId w:val="0"/>
        </w:numPr>
        <w:ind w:left="1152" w:right="0" w:hanging="0"/>
        <w:rPr/>
      </w:pPr>
      <w:r>
        <w:rPr/>
      </w:r>
    </w:p>
    <w:p>
      <w:pPr>
        <w:pStyle w:val="TextBody"/>
        <w:numPr>
          <w:ilvl w:val="0"/>
          <w:numId w:val="0"/>
        </w:numPr>
        <w:ind w:left="1584" w:right="0" w:hanging="0"/>
        <w:rPr/>
      </w:pPr>
      <w:r>
        <w:rPr/>
        <w:t>Datu kopas tika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numPr>
          <w:ilvl w:val="0"/>
          <w:numId w:val="0"/>
        </w:numPr>
        <w:ind w:left="1152" w:right="0" w:hanging="0"/>
        <w:rPr/>
      </w:pPr>
      <w:r>
        <w:rPr/>
      </w:r>
      <w:r>
        <w:br w:type="page"/>
      </w:r>
    </w:p>
    <w:p>
      <w:pPr>
        <w:pStyle w:val="Normal"/>
        <w:ind w:left="0" w:right="0" w:hanging="0"/>
        <w:jc w:val="right"/>
        <w:rPr/>
      </w:pPr>
      <w:r>
        <w:rPr/>
        <w:t>Tabula 4.1 Izmantotās datu kopas un to pirmsapstrāde</w:t>
      </w:r>
    </w:p>
    <w:tbl>
      <w:tblPr>
        <w:tblW w:w="7560" w:type="dxa"/>
        <w:jc w:val="center"/>
        <w:tblInd w:w="0" w:type="dxa"/>
        <w:tblCellMar>
          <w:top w:w="0" w:type="dxa"/>
          <w:left w:w="108" w:type="dxa"/>
          <w:bottom w:w="0" w:type="dxa"/>
          <w:right w:w="108" w:type="dxa"/>
        </w:tblCellMar>
      </w:tblPr>
      <w:tblGrid>
        <w:gridCol w:w="1177"/>
        <w:gridCol w:w="946"/>
        <w:gridCol w:w="993"/>
        <w:gridCol w:w="949"/>
        <w:gridCol w:w="994"/>
        <w:gridCol w:w="1295"/>
        <w:gridCol w:w="1205"/>
      </w:tblGrid>
      <w:tr>
        <w:trPr>
          <w:trHeight w:val="960" w:hRule="atLeast"/>
        </w:trPr>
        <w:tc>
          <w:tcPr>
            <w:tcW w:w="117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5"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205"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Mērķis</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Kvantitatīvs slimības progresijas mērs</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Vardarbīgi noziegumi uz iedzīvotāju</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Vīnu klases</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Krūts vēža esamība</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 mājaslapa pīkšķerē</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Sēņu indīgums</w:t>
            </w:r>
          </w:p>
        </w:tc>
      </w:tr>
    </w:tbl>
    <w:p>
      <w:pPr>
        <w:pStyle w:val="Normal"/>
        <w:ind w:left="0" w:right="0" w:hanging="0"/>
        <w:rPr>
          <w:b/>
          <w:b/>
          <w:bCs/>
          <w:sz w:val="32"/>
        </w:rPr>
      </w:pPr>
      <w:r>
        <w:rPr>
          <w:b/>
          <w:bCs/>
          <w:sz w:val="32"/>
        </w:rPr>
      </w:r>
      <w:r>
        <w:br w:type="page"/>
      </w:r>
    </w:p>
    <w:p>
      <w:pPr>
        <w:pStyle w:val="Heading2"/>
        <w:numPr>
          <w:ilvl w:val="1"/>
          <w:numId w:val="4"/>
        </w:numPr>
        <w:ind w:left="1296" w:right="-1" w:firstLine="720"/>
        <w:rPr>
          <w:rFonts w:eastAsia="Times New Roman" w:cs="Arial"/>
          <w:b/>
          <w:b/>
          <w:bCs/>
          <w:iCs/>
          <w:color w:val="auto"/>
          <w:kern w:val="0"/>
          <w:sz w:val="28"/>
          <w:szCs w:val="28"/>
          <w:lang w:val="lv-LV" w:eastAsia="en-US" w:bidi="ar-SA"/>
        </w:rPr>
      </w:pPr>
      <w:bookmarkStart w:id="50" w:name="__RefHeading___Toc9610_667262781"/>
      <w:bookmarkEnd w:id="50"/>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 xml:space="preserve">Eksperimentā datu kopas tiek nejauši sadalītas apmācības (70%) un testa datos (30%) .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5"/>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5"/>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5"/>
        </w:numPr>
        <w:rPr/>
      </w:pPr>
      <w:r>
        <w:rPr>
          <w:rStyle w:val="InternetLink"/>
          <w:color w:val="000000"/>
          <w:u w:val="none"/>
        </w:rPr>
        <w:t>No mainīgo svarīguma aprēķina izvēlēts mainīgais ar vismazāko svarīgumu</w:t>
      </w:r>
    </w:p>
    <w:p>
      <w:pPr>
        <w:pStyle w:val="Normal"/>
        <w:numPr>
          <w:ilvl w:val="0"/>
          <w:numId w:val="15"/>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ab/>
        <w:tab/>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modēlu precizitātes mērs, jo tas spēj labi attēlot nebalansētu klasifikācijas uzdevumu modelēšanas precizitāti. Dziļāku izskaidrojumu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Modeļi tiek apmācīti ar bāzes hiperparametriem (skatīt ietvara Scikitlearn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w:t>
      </w:r>
    </w:p>
    <w:p>
      <w:pPr>
        <w:pStyle w:val="Normal"/>
        <w:ind w:left="0" w:right="0" w:hanging="0"/>
        <w:rPr/>
      </w:pPr>
      <w:r>
        <w:rPr>
          <w:rStyle w:val="InternetLink"/>
          <w:rFonts w:eastAsia="Times New Roman" w:cs="Times New Roman"/>
          <w:color w:val="000000"/>
          <w:kern w:val="0"/>
          <w:sz w:val="24"/>
          <w:szCs w:val="24"/>
          <w:u w:val="none"/>
          <w:lang w:val="lv-LV" w:eastAsia="en-US" w:bidi="ar-SA"/>
        </w:rPr>
        <w:tab/>
        <w:t>Apskatīsim praktisku piemēru, kā izskatās viens no eksperimentiem. Attēlā 1.1 var redzēt kā strādā mainīga svarīguma metodes “gini” (kritērija guvums) izvērtējums datiem “boston”. Katrā iterācijā (iteration)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51">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1.2 Grafiska reprezentācija eksperimenta procesam</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Kā redzams attēlā 1.2 nometot pirmo visnelietderīgāko mainīgo modeļa vidējā kvadrātiskā kļūda pat uzlabojas. Var secināt, ka mainīgais bija neinformatīvs. No 0 iterācijas līdz 9 modeļa kļūdas augums ir salīdzinoši lēzens. No 10 iterācijas līdz beigām modeļa kļūdas augums ir straujšs, var secināt, ka mainīgi, kas tikai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aggregāciju starp regresijas un klasifikācijas datu kopām nepieciešams eksperimenta precizitāti normalizēt. Dati tiek normalizēti dalot sākuma modeļa precizitātes vērtību (0 iterācija) ar modeļa precizitātes vērtību iterācija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489575" cy="4076065"/>
                <wp:effectExtent l="0" t="0" r="0" b="0"/>
                <wp:wrapSquare wrapText="largest"/>
                <wp:docPr id="9" name="Frame1"/>
                <a:graphic xmlns:a="http://schemas.openxmlformats.org/drawingml/2006/main">
                  <a:graphicData uri="http://schemas.microsoft.com/office/word/2010/wordprocessingShape">
                    <wps:wsp>
                      <wps:cNvSpPr/>
                      <wps:spPr>
                        <a:xfrm>
                          <a:off x="0" y="0"/>
                          <a:ext cx="5488920" cy="4075560"/>
                        </a:xfrm>
                        <a:prstGeom prst="rect">
                          <a:avLst/>
                        </a:prstGeom>
                        <a:noFill/>
                        <a:ln>
                          <a:noFill/>
                        </a:ln>
                      </wps:spPr>
                      <wps:style>
                        <a:lnRef idx="0"/>
                        <a:fillRef idx="0"/>
                        <a:effectRef idx="0"/>
                        <a:fontRef idx="minor"/>
                      </wps:style>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lIns="0" rIns="0" tIns="0" bIns="0">
                        <a:noAutofit/>
                      </wps:bodyPr>
                    </wps:wsp>
                  </a:graphicData>
                </a:graphic>
              </wp:anchor>
            </w:drawing>
          </mc:Choice>
          <mc:Fallback>
            <w:pict>
              <v:rect id="shape_0" ID="Frame1" stroked="f" style="position:absolute;margin-left:10.65pt;margin-top:0.05pt;width:432.15pt;height:320.85pt;mso-position-horizontal:center">
                <w10:wrap type="square"/>
                <v:fill o:detectmouseclick="t" on="false"/>
                <v:stroke color="#3465a4" joinstyle="round" endcap="flat"/>
                <v:textbox>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w:r>
      <w:r>
        <w:rPr/>
        <w:t>Normalizētas precizitātes koeficients ļauj arī daudz intuitīvāk vizualizēt modeļa precizitātes zaudējuma progresu Attēls 1.4.</w:t>
      </w:r>
    </w:p>
    <w:p>
      <w:pPr>
        <w:pStyle w:val="Normal"/>
        <w:ind w:left="0" w:right="0" w:hanging="0"/>
        <w:rPr/>
      </w:pPr>
      <w:r>
        <w:rPr/>
        <w:t>Lai veiktu modeļu novērtējumu tiek izvirzīti 3 kritēriji no dabisko datu eksperimentiem. Pirmais kritērijs – Vai ir iespējams atrast mainīgo apakškopu, kas uzlabo modeļa darbību?</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Otrai kritērijs – Cik procentuāli mainīgos ir iespējams atmest bez precizitātes zaudējuma?</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 Kāda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Kritērijiem tiek piešķirti saīsinājumi:</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Pirmais kritērijs –  modeļa uzlabojums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Otrai kritērijs – lieko mainīgo nomešana</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Trešais kritērijs –  minimāla modeļa veiktspēja</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4"/>
        </w:numPr>
        <w:rPr/>
      </w:pPr>
      <w:bookmarkStart w:id="51" w:name="__RefHeading___Toc1807_2551015736"/>
      <w:bookmarkEnd w:id="51"/>
      <w:r>
        <w:rPr/>
        <w:t>Eksperiments ar sintētiskiem datiem</w:t>
      </w:r>
    </w:p>
    <w:p>
      <w:pPr>
        <w:pStyle w:val="Normal"/>
        <w:rPr/>
      </w:pPr>
      <w:r>
        <w:rPr/>
        <w:t>Galvenā motivācija veikt ekspirmentu ar sintētiskiem datiem ir tas, ka ar sintētiskajiem datiem ir iespējams norādīt kuri mainīgie ir informatīvi un kuri lieki.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Heading2"/>
        <w:numPr>
          <w:ilvl w:val="1"/>
          <w:numId w:val="4"/>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2" w:name="__RefHeading___Toc5919_3955443528"/>
      <w:bookmarkEnd w:id="52"/>
      <w:r>
        <w:rPr>
          <w:rFonts w:eastAsia="Times New Roman" w:cs="Arial"/>
          <w:b/>
          <w:bCs/>
          <w:iCs/>
          <w:color w:val="auto"/>
          <w:kern w:val="0"/>
          <w:sz w:val="28"/>
          <w:szCs w:val="28"/>
          <w:lang w:val="lv-LV" w:eastAsia="en-US" w:bidi="ar-SA"/>
        </w:rPr>
        <w:t>Eksperiments metožu ātruma novērtējumam</w:t>
      </w:r>
    </w:p>
    <w:p>
      <w:pPr>
        <w:pStyle w:val="Normal"/>
        <w:spacing w:before="720" w:after="720"/>
        <w:ind w:left="0"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Tiks veikts empīrisks eksperiments mainīgo svarīguma ātruma novērtējumam, paņemot sintētiskas datu kopas un aproksimējot aprēķina laiku.</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eastAsia="Times New Roman" w:cs="Arial"/>
          <w:b/>
          <w:b/>
          <w:bCs/>
          <w:iCs/>
          <w:color w:val="auto"/>
          <w:kern w:val="0"/>
          <w:sz w:val="28"/>
          <w:szCs w:val="28"/>
          <w:lang w:val="lv-LV" w:eastAsia="en-US" w:bidi="ar-SA"/>
        </w:rPr>
      </w:pPr>
      <w:bookmarkStart w:id="53" w:name="__RefHeading___Toc9612_667262781"/>
      <w:bookmarkEnd w:id="53"/>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empīriska ātruma)</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ascii="Times New Roman" w:hAnsi="Times New Roman" w:eastAsia="Times New Roman" w:cs="Arial"/>
          <w:color w:val="auto"/>
          <w:kern w:val="0"/>
          <w:sz w:val="28"/>
          <w:szCs w:val="28"/>
          <w:lang w:val="lv-LV" w:eastAsia="en-US" w:bidi="ar-SA"/>
        </w:rPr>
      </w:pPr>
      <w:bookmarkStart w:id="54" w:name="__RefHeading___Toc15441_3955443528"/>
      <w:bookmarkEnd w:id="54"/>
      <w:r>
        <w:rPr>
          <w:rFonts w:eastAsia="Times New Roman" w:cs="Arial"/>
          <w:b/>
          <w:bCs/>
          <w:iCs/>
          <w:color w:val="auto"/>
          <w:kern w:val="0"/>
          <w:sz w:val="28"/>
          <w:szCs w:val="28"/>
          <w:lang w:val="lv-LV" w:eastAsia="en-US" w:bidi="ar-SA"/>
        </w:rPr>
        <w:t>Vienkāršu modeļu paritāte</w:t>
      </w:r>
    </w:p>
    <w:p>
      <w:pPr>
        <w:pStyle w:val="Normal"/>
        <w:spacing w:before="720" w:after="720"/>
        <w:ind w:left="0" w:right="-1" w:hanging="0"/>
        <w:rPr>
          <w:b w:val="false"/>
          <w:b w:val="false"/>
          <w:bCs w:val="false"/>
          <w:sz w:val="24"/>
          <w:szCs w:val="24"/>
        </w:rPr>
      </w:pPr>
      <w:bookmarkStart w:id="55" w:name="_Toc322465149"/>
      <w:bookmarkStart w:id="56" w:name="_Toc318203347"/>
      <w:bookmarkStart w:id="57" w:name="_Toc318207601"/>
      <w:bookmarkStart w:id="58" w:name="_Toc318203199"/>
      <w:bookmarkStart w:id="59" w:name="_Toc341792569"/>
      <w:bookmarkEnd w:id="55"/>
      <w:bookmarkEnd w:id="56"/>
      <w:bookmarkEnd w:id="57"/>
      <w:bookmarkEnd w:id="58"/>
      <w:bookmarkEnd w:id="59"/>
      <w:r>
        <w:rPr>
          <w:rFonts w:eastAsia="Times New Roman" w:cs="Arial"/>
          <w:b w:val="false"/>
          <w:bCs w:val="false"/>
          <w:iCs/>
          <w:color w:val="auto"/>
          <w:kern w:val="0"/>
          <w:sz w:val="24"/>
          <w:szCs w:val="24"/>
          <w:lang w:val="lv-LV" w:eastAsia="en-US" w:bidi="ar-SA"/>
        </w:rPr>
        <w:tab/>
        <w:t>Vai vienkāršiem modeļiem (lēmumu koki) ir veiktspējas paritāte ar sarežģītiem modeļeim (RF, GBDT), ja mainīgie ir labi izvēlēti?</w:t>
      </w:r>
      <w:r>
        <w:br w:type="page"/>
      </w:r>
    </w:p>
    <w:p>
      <w:pPr>
        <w:pStyle w:val="Head1beznum"/>
        <w:ind w:left="1151" w:right="-1" w:hanging="431"/>
        <w:rPr/>
      </w:pPr>
      <w:bookmarkStart w:id="60" w:name="_Toc3182076011"/>
      <w:bookmarkStart w:id="61" w:name="_Toc3182033471"/>
      <w:bookmarkStart w:id="62" w:name="_Toc3224651491"/>
      <w:bookmarkStart w:id="63" w:name="_Toc3417925691"/>
      <w:bookmarkStart w:id="64" w:name="_Toc3182031991"/>
      <w:r>
        <w:rPr/>
        <w:t>Izmantotā Literatūra</w:t>
      </w:r>
      <w:bookmarkEnd w:id="60"/>
      <w:bookmarkEnd w:id="61"/>
      <w:bookmarkEnd w:id="62"/>
      <w:bookmarkEnd w:id="63"/>
      <w:bookmarkEnd w:id="64"/>
    </w:p>
    <w:p>
      <w:pPr>
        <w:pStyle w:val="References"/>
        <w:rPr/>
      </w:pPr>
      <w:r>
        <w:rPr>
          <w:rStyle w:val="Quotation"/>
          <w:i/>
          <w:iCs/>
        </w:rPr>
        <w:t>Confalonieri, R. et al. “A historical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65" w:name="wrcr23140-cit-0091"/>
      <w:bookmarkEnd w:id="65"/>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66" w:name="wrcr23140-cit-0082"/>
      <w:bookmarkEnd w:id="66"/>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67" w:name="CITEREFStrathern19971"/>
      <w:bookmarkEnd w:id="67"/>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p>
    <w:sectPr>
      <w:footerReference w:type="default" r:id="rId13"/>
      <w:type w:val="nextPage"/>
      <w:pgSz w:w="11906" w:h="16838"/>
      <w:pgMar w:left="1701" w:right="1134" w:header="0" w:top="1701" w:footer="709" w:bottom="1134" w:gutter="0"/>
      <w:pgNumType w:start="3"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mc:AlternateContent>
        <mc:Choice Requires="wps">
          <w:drawing>
            <wp:anchor behindDoc="1" distT="0" distB="0" distL="0" distR="0" simplePos="0" locked="0" layoutInCell="1" allowOverlap="1" relativeHeight="44">
              <wp:simplePos x="0" y="0"/>
              <wp:positionH relativeFrom="column">
                <wp:align>center</wp:align>
              </wp:positionH>
              <wp:positionV relativeFrom="paragraph">
                <wp:posOffset>635</wp:posOffset>
              </wp:positionV>
              <wp:extent cx="639445" cy="202565"/>
              <wp:effectExtent l="0" t="0" r="0" b="0"/>
              <wp:wrapSquare wrapText="bothSides"/>
              <wp:docPr id="13" name="Image1"/>
              <a:graphic xmlns:a="http://schemas.openxmlformats.org/drawingml/2006/main">
                <a:graphicData uri="http://schemas.microsoft.com/office/word/2010/wordprocessingShape">
                  <wps:wsp>
                    <wps:cNvSpPr/>
                    <wps:spPr>
                      <a:xfrm>
                        <a:off x="0" y="0"/>
                        <a:ext cx="638640" cy="20196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201.6pt;margin-top:0.05pt;width:50.25pt;height:15.85pt;mso-position-horizontal:center">
              <w10:wrap type="none"/>
              <v:fill o:detectmouseclick="t" on="false"/>
              <v:stroke color="#3465a4" joinstyle="round" endcap="fla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1152"/>
        </w:tabs>
        <w:ind w:left="1152" w:hanging="432"/>
      </w:pPr>
    </w:lvl>
    <w:lvl w:ilvl="1">
      <w:start w:val="4"/>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2"/>
      <w:numFmt w:val="decimal"/>
      <w:lvlText w:val="%1"/>
      <w:lvlJc w:val="left"/>
      <w:pPr>
        <w:tabs>
          <w:tab w:val="num" w:pos="1152"/>
        </w:tabs>
        <w:ind w:left="1152" w:hanging="432"/>
      </w:pPr>
    </w:lvl>
    <w:lvl w:ilvl="1">
      <w:start w:val="4"/>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tru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tru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sr-sv.com/the-predictive-power-score/"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23506</TotalTime>
  <Application>LibreOffice/6.4.6.2$Linux_X86_64 LibreOffice_project/40$Build-2</Application>
  <Pages>47</Pages>
  <Words>6884</Words>
  <Characters>44919</Characters>
  <CharactersWithSpaces>51686</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2021-08-02T06:22:44Z</dcterms:modified>
  <cp:revision>683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