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hanging="0"/>
        <w:rPr>
          <w:b/>
          <w:b/>
          <w:bCs/>
        </w:rPr>
      </w:pPr>
      <w:r>
        <w:rPr/>
      </w:r>
    </w:p>
    <w:p>
      <w:pPr>
        <w:pStyle w:val="TitlePage"/>
        <w:ind w:right="-1" w:hanging="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hanging="0"/>
        <w:rPr>
          <w:b/>
          <w:b/>
          <w:bCs/>
          <w:caps/>
          <w:sz w:val="48"/>
          <w:szCs w:val="48"/>
        </w:rPr>
      </w:pPr>
      <w:r>
        <w:rPr/>
      </w:r>
    </w:p>
    <w:p>
      <w:pPr>
        <w:pStyle w:val="TitlePage"/>
        <w:ind w:right="-1" w:hanging="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0" w:name="__RefHeading___Toc2097_3409115181"/>
      <w:bookmarkEnd w:id="0"/>
      <w:r>
        <w:rPr/>
        <w:t>CART, lēmumu koki, izskaidrojamība, sarežģītība</w:t>
      </w:r>
    </w:p>
    <w:p>
      <w:pPr>
        <w:pStyle w:val="TextBody"/>
        <w:rPr/>
      </w:pPr>
      <w:bookmarkStart w:id="1" w:name="__RefHeading___Toc2099_3409115181"/>
      <w:bookmarkEnd w:id="1"/>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modeļa veiktspēja, bet modeļa izskaidrojamība. CART (Classification and regression trees, klasifikācijas un regresijas koki)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 xml:space="preserve">Darbā eksperimentāli novērtēta mainīgo svarīguma metožu efektivitāte CART modeļiem un definēta metožu piemērotību dažādām situācijām. </w:t>
      </w:r>
    </w:p>
    <w:p>
      <w:pPr>
        <w:pStyle w:val="TextBody"/>
        <w:rPr/>
      </w:pPr>
      <w:r>
        <w:rPr/>
      </w:r>
    </w:p>
    <w:p>
      <w:pPr>
        <w:pStyle w:val="TextBody"/>
        <w:rPr/>
      </w:pPr>
      <w:r>
        <w:rPr/>
        <w:t>Darba pamattekstā ir 60 lappuses, 9 metodes, 8 datu kopas, 28 attēli, 3 tabulas, 24 nosaukumu informācijas avoti un 1 pielikums.</w:t>
      </w:r>
      <w:r>
        <w:br w:type="page"/>
      </w:r>
    </w:p>
    <w:p>
      <w:pPr>
        <w:pStyle w:val="Avirsraksts1beznum"/>
        <w:rPr/>
      </w:pPr>
      <w:r>
        <w:rPr/>
        <w:t>Abstract</w:t>
      </w:r>
    </w:p>
    <w:p>
      <w:pPr>
        <w:pStyle w:val="TextBody"/>
        <w:rPr/>
      </w:pPr>
      <w:bookmarkStart w:id="2" w:name="__RefHeading___Toc2101_3409115181"/>
      <w:bookmarkEnd w:id="2"/>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3" w:name="__RefHeading___Toc2103_3409115181"/>
      <w:bookmarkEnd w:id="3"/>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commentRangeStart w:id="0"/>
      <w:r>
        <w:rPr/>
        <w:t>IEVADS</w:t>
      </w:r>
      <w:commentRangeEnd w:id="0"/>
      <w:r>
        <w:commentReference w:id="0"/>
      </w:r>
      <w:r>
        <w:rPr/>
      </w:r>
    </w:p>
    <w:p>
      <w:pPr>
        <w:pStyle w:val="Normal"/>
        <w:ind w:hanging="0"/>
        <w:rPr/>
      </w:pPr>
      <w:r>
        <w:rPr>
          <w:rStyle w:val="Tojvnm2t"/>
        </w:rPr>
        <w:tab/>
        <w:t xml:space="preserve">Mākslīgā intelekta (MI) sistēmu ātrais progress un ievērojamā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w:t>
      </w:r>
      <w:commentRangeStart w:id="1"/>
      <w:r>
        <w:rPr>
          <w:rStyle w:val="Tojvnm2t"/>
        </w:rPr>
        <w:t>izskaidrojamības</w:t>
      </w:r>
      <w:r>
        <w:rPr>
          <w:rStyle w:val="Tojvnm2t"/>
        </w:rPr>
      </w:r>
      <w:commentRangeEnd w:id="1"/>
      <w:r>
        <w:commentReference w:id="1"/>
      </w:r>
      <w:r>
        <w:rPr>
          <w:rStyle w:val="Tojvnm2t"/>
        </w:rPr>
        <w:t xml:space="preserve">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5"/>
        </w:numPr>
        <w:ind w:left="0" w:hanging="0"/>
        <w:rPr/>
      </w:pPr>
      <w:r>
        <w:rPr>
          <w:rStyle w:val="Tojvnm2t"/>
        </w:rPr>
        <w:t>apkopot informāciju par CART modeļu sarežģītības samazināšanas stratēģijām;</w:t>
      </w:r>
    </w:p>
    <w:p>
      <w:pPr>
        <w:pStyle w:val="Normal"/>
        <w:numPr>
          <w:ilvl w:val="0"/>
          <w:numId w:val="15"/>
        </w:numPr>
        <w:ind w:left="0" w:hanging="0"/>
        <w:rPr/>
      </w:pPr>
      <w:r>
        <w:rPr>
          <w:rStyle w:val="Tojvnm2t"/>
        </w:rPr>
        <w:t>analizēt, kādas ir mainīga svarīguma metodes;</w:t>
      </w:r>
    </w:p>
    <w:p>
      <w:pPr>
        <w:pStyle w:val="Normal"/>
        <w:numPr>
          <w:ilvl w:val="0"/>
          <w:numId w:val="15"/>
        </w:numPr>
        <w:ind w:left="0" w:hanging="0"/>
        <w:rPr/>
      </w:pPr>
      <w:r>
        <w:rPr>
          <w:rStyle w:val="Tojvnm2t"/>
        </w:rPr>
        <w:t>eksperimentāli novērtēt mainīgo svarīguma metožu efektivitāti CART modeļiem, apmācot tos ar dabīgiem un  mākslīgiem datiem;</w:t>
      </w:r>
    </w:p>
    <w:p>
      <w:pPr>
        <w:pStyle w:val="Normal"/>
        <w:numPr>
          <w:ilvl w:val="0"/>
          <w:numId w:val="15"/>
        </w:numPr>
        <w:ind w:left="0" w:hanging="0"/>
        <w:rPr/>
      </w:pPr>
      <w:r>
        <w:rPr>
          <w:rStyle w:val="Tojvnm2t"/>
        </w:rPr>
        <w:t>eksperimentāli noteikt mainīgo svarīguma metožu ātrdarbību.</w:t>
      </w:r>
    </w:p>
    <w:p>
      <w:pPr>
        <w:pStyle w:val="Normal"/>
        <w:numPr>
          <w:ilvl w:val="0"/>
          <w:numId w:val="15"/>
        </w:numPr>
        <w:ind w:left="0" w:hanging="0"/>
        <w:rPr/>
      </w:pPr>
      <w:r>
        <w:rPr>
          <w:rStyle w:val="Tojvnm2t"/>
        </w:rPr>
        <w:t>definēt metožu piemērotību dažādās situācijās, pamatojoties uz eksperimentu rezultātiem</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 D</w:t>
      </w:r>
      <w:r>
        <w:rPr/>
        <w:commentReference w:id="2"/>
      </w:r>
      <w:r>
        <w:rPr>
          <w:rStyle w:val="Tojvnm2t"/>
        </w:rPr>
        <w:t>arba 2. nodaļā tiek izvēlētas konkrētas mainīgo izvēles metodes un raksturoti to darbības principi. Darba 3. nodaļā tiek veikts eksperiments</w:t>
      </w:r>
      <w:r>
        <w:br w:type="page"/>
      </w:r>
    </w:p>
    <w:p>
      <w:pPr>
        <w:pStyle w:val="Head1beznumsatura"/>
        <w:ind w:left="1151" w:right="-1" w:hanging="431"/>
        <w:rPr/>
      </w:pPr>
      <w:bookmarkStart w:id="4" w:name="__RefHeading___Toc2105_3409115181"/>
      <w:bookmarkEnd w:id="4"/>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9</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izvēles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1.1.1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1.1.2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1.2.1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izvēles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1.2.2 Lēmumu koki</w:t>
              <w:tab/>
              <w:t>27</w:t>
            </w:r>
          </w:hyperlink>
        </w:p>
        <w:p>
          <w:pPr>
            <w:pStyle w:val="Contents3"/>
            <w:tabs>
              <w:tab w:val="clear" w:pos="720"/>
              <w:tab w:val="right" w:pos="9071" w:leader="dot"/>
            </w:tabs>
            <w:rPr/>
          </w:pPr>
          <w:hyperlink w:anchor="__RefHeading___Toc1955_3387015501">
            <w:r>
              <w:rPr>
                <w:rStyle w:val="IndexLink"/>
              </w:rPr>
              <w:t>1.2.3 Lēmumu koku izlase</w:t>
              <w:tab/>
              <w:t>29</w:t>
            </w:r>
          </w:hyperlink>
        </w:p>
        <w:p>
          <w:pPr>
            <w:pStyle w:val="Contents3"/>
            <w:tabs>
              <w:tab w:val="clear" w:pos="720"/>
              <w:tab w:val="right" w:pos="9071" w:leader="dot"/>
            </w:tabs>
            <w:rPr/>
          </w:pPr>
          <w:hyperlink w:anchor="__RefHeading___Toc8292_3387015501">
            <w:r>
              <w:rPr>
                <w:rStyle w:val="IndexLink"/>
              </w:rPr>
              <w:t>1.2.4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 xml:space="preserve">3.3 Eksperiments ar </w:t>
            </w:r>
            <w:r>
              <w:rPr>
                <w:rStyle w:val="IndexLink"/>
                <w:iCs/>
              </w:rPr>
              <w:t>dabiskajiem</w:t>
            </w:r>
            <w:r>
              <w:rPr>
                <w:rStyle w:val="IndexLink"/>
              </w:rPr>
              <w:t xml:space="preserve">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 xml:space="preserve">3.5 Mainīgo </w:t>
            </w:r>
            <w:r>
              <w:rPr>
                <w:rStyle w:val="IndexLink"/>
                <w:iCs/>
              </w:rPr>
              <w:t>izvēles</w:t>
            </w:r>
            <w:r>
              <w:rPr>
                <w:rStyle w:val="IndexLink"/>
              </w:rPr>
              <w:t xml:space="preserve"> metožu novērtējums</w:t>
              <w:tab/>
              <w:t>46</w:t>
            </w:r>
          </w:hyperlink>
        </w:p>
        <w:p>
          <w:pPr>
            <w:pStyle w:val="Contents2"/>
            <w:tabs>
              <w:tab w:val="clear" w:pos="720"/>
              <w:tab w:val="right" w:pos="9071" w:leader="dot"/>
            </w:tabs>
            <w:rPr/>
          </w:pPr>
          <w:hyperlink w:anchor="__RefHeading___Toc15441_3955443528">
            <w:r>
              <w:rPr>
                <w:rStyle w:val="IndexLink"/>
              </w:rPr>
              <w:t xml:space="preserve">3.6 Maksimālas veiktspējas mainīgo </w:t>
            </w:r>
            <w:r>
              <w:rPr>
                <w:rStyle w:val="IndexLink"/>
                <w:iCs/>
              </w:rPr>
              <w:t>kopu</w:t>
            </w:r>
            <w:r>
              <w:rPr>
                <w:rStyle w:val="IndexLink"/>
              </w:rPr>
              <w:t xml:space="preserve"> analīze</w:t>
              <w:tab/>
              <w:t>50</w:t>
            </w:r>
          </w:hyperlink>
        </w:p>
        <w:p>
          <w:pPr>
            <w:pStyle w:val="Contents2"/>
            <w:tabs>
              <w:tab w:val="clear" w:pos="720"/>
              <w:tab w:val="right" w:pos="9071" w:leader="dot"/>
            </w:tabs>
            <w:rPr/>
          </w:pPr>
          <w:hyperlink w:anchor="__RefHeading___Toc20984_3223782490">
            <w:r>
              <w:rPr>
                <w:rStyle w:val="IndexLink"/>
              </w:rPr>
              <w:t xml:space="preserve">3.7 </w:t>
            </w:r>
            <w:r>
              <w:rPr>
                <w:rStyle w:val="IndexLink"/>
                <w:iCs/>
              </w:rPr>
              <w:t>Additional content under consideration (don’t read this)</w:t>
            </w:r>
            <w:r>
              <w:rPr>
                <w:rStyle w:val="IndexLink"/>
              </w:rPr>
              <w:tab/>
              <w:t>57</w:t>
            </w:r>
          </w:hyperlink>
        </w:p>
        <w:p>
          <w:pPr>
            <w:pStyle w:val="Contents2"/>
            <w:tabs>
              <w:tab w:val="clear" w:pos="720"/>
              <w:tab w:val="right" w:pos="9071" w:leader="dot"/>
            </w:tabs>
            <w:rPr/>
          </w:pPr>
          <w:hyperlink w:anchor="__RefHeading___Toc20986_3223782490">
            <w:r>
              <w:rPr>
                <w:rStyle w:val="IndexLink"/>
              </w:rPr>
              <w:t>1.1 Secinājumi</w:t>
              <w:tab/>
              <w:t>60</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3"/>
        </w:numPr>
        <w:ind w:left="1151" w:hanging="431"/>
        <w:rPr/>
      </w:pPr>
      <w:bookmarkStart w:id="5" w:name="__RefHeading___Toc50247_2182101473"/>
      <w:bookmarkEnd w:id="5"/>
      <w:r>
        <w:rPr/>
        <w:t>CART modeļu sarežgītība un izskaidrojamība</w:t>
      </w:r>
    </w:p>
    <w:p>
      <w:pPr>
        <w:pStyle w:val="Normal"/>
        <w:rPr/>
      </w:pPr>
      <w:r>
        <w:rPr/>
        <w:t>CART (Classification and regression trees, klasifikācijas un regresijas koki) bāzēti modeļi ir kļuvuši par vieniem no visplašāk izmantotajiem modeļiem mašīnmācīšanās nozarē. Izskaidrojamības nozares “atdzimšana” ir atjaunojusi interesi par CART izmantošanu modelēšanas kontekstos, kuros izskaidrojamība ir nozīmīgāka par veiktspēju. CART modeļi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3"/>
        </w:numPr>
        <w:rPr/>
      </w:pPr>
      <w:bookmarkStart w:id="6" w:name="__RefHeading___Toc1884_3387015501"/>
      <w:bookmarkEnd w:id="6"/>
      <w:r>
        <w:rPr/>
        <w:t>CART modeļi un to sarežģītības samazināšana</w:t>
      </w:r>
    </w:p>
    <w:p>
      <w:pPr>
        <w:pStyle w:val="Normal"/>
        <w:ind w:hanging="0"/>
        <w:rPr/>
      </w:pPr>
      <w:r>
        <w:rPr/>
        <w:tab/>
        <w:t xml:space="preserve">CART (Breiman et al., 1983) ir mašīnmācīšanās algoritmu kopa, kas ļauj viedot </w:t>
      </w:r>
      <w:r>
        <w:rPr>
          <w:rFonts w:eastAsia="Times New Roman" w:cs="Times New Roman"/>
          <w:color w:val="auto"/>
          <w:kern w:val="0"/>
          <w:sz w:val="24"/>
          <w:szCs w:val="24"/>
          <w:lang w:val="lv-LV" w:eastAsia="en-US" w:bidi="ar-SA"/>
        </w:rPr>
        <w:t>datu modeļus</w:t>
      </w:r>
      <w:r>
        <w:rPr/>
        <w:t xml:space="preserve">.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instanču skaits</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apmācības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b w:val="false"/>
          <w:bCs w:val="false"/>
        </w:rPr>
        <w:t>mainīgo izvēles metodes 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w:t>
      </w:r>
      <w:r>
        <w:rPr>
          <w:rStyle w:val="Tojvnm2t"/>
          <w:rFonts w:eastAsia="Times New Roman" w:cs="Times New Roman"/>
          <w:color w:val="auto"/>
          <w:kern w:val="0"/>
          <w:sz w:val="24"/>
          <w:szCs w:val="24"/>
          <w:lang w:val="lv-LV" w:eastAsia="en-US" w:bidi="ar-SA"/>
        </w:rPr>
        <w:t xml:space="preserve">Tas </w:t>
      </w:r>
      <w:r>
        <w:rPr>
          <w:rStyle w:val="Tojvnm2t"/>
        </w:rPr>
        <w:t xml:space="preserve">ir manuāls process, kas prasa subjektīvu eksperta izvērtējumu. EDA piemīt tādas problēmas kā Simpsona paradokss, kad attiecības, kas piemērotas konkrētām datu apakšgrupām, pazūd, kad šīs apakšgrupas tiek apvienotas </w:t>
      </w:r>
      <w:bookmarkStart w:id="7" w:name="CITEREFSimpson,_Edward_H.195111"/>
      <w:bookmarkEnd w:id="7"/>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3"/>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w:t>
      </w:r>
      <w:r>
        <w:rPr/>
        <w:commentReference w:id="4"/>
      </w:r>
      <w:r>
        <w:rPr>
          <w:rStyle w:val="Tojvnm2t"/>
          <w:rFonts w:eastAsia="Times New Roman" w:cs="Times New Roman"/>
          <w:b w:val="false"/>
          <w:bCs w:val="false"/>
          <w:color w:val="auto"/>
          <w:kern w:val="0"/>
          <w:sz w:val="24"/>
          <w:szCs w:val="24"/>
          <w:lang w:val="lv-LV" w:eastAsia="en-US" w:bidi="ar-SA"/>
        </w:rPr>
        <w:t>mbļu sistēmu reducējot uz vienkāršu lēmumu koku. Par CART algoritmu darbības principiem dziļāk aprakstīts nodaļa 3.1.</w:t>
      </w:r>
      <w:commentRangeEnd w:id="3"/>
      <w:r>
        <w:commentReference w:id="3"/>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r>
        <w:rPr>
          <w:rStyle w:val="Tojvnm2t"/>
        </w:rPr>
        <w:t xml:space="preserve">ir izvēlētas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Turklāt tās ir plaši izmantotas, jo ir implementētas mašīnmācīšanās bibliotēkās. Bet tajā pašā laikā, neskatoties uz to plašo atspoguļojumu zinātniskajā literatūrā (</w:t>
      </w:r>
      <w:commentRangeStart w:id="5"/>
      <w:r>
        <w:rPr>
          <w:rStyle w:val="Tojvnm2t"/>
        </w:rPr>
        <w:t>te</w:t>
      </w:r>
      <w:r>
        <w:rPr>
          <w:rStyle w:val="Tojvnm2t"/>
        </w:rPr>
      </w:r>
      <w:commentRangeEnd w:id="5"/>
      <w:r>
        <w:commentReference w:id="5"/>
      </w:r>
      <w:r>
        <w:rPr>
          <w:rStyle w:val="Tojvnm2t"/>
        </w:rPr>
        <w:t xml:space="preserve">), tajā nav atrodams objektīvs šo metožu </w:t>
      </w:r>
      <w:commentRangeStart w:id="6"/>
      <w:r>
        <w:rPr>
          <w:rStyle w:val="Tojvnm2t"/>
        </w:rPr>
        <w:t>salīdzinājums</w:t>
      </w:r>
      <w:commentRangeEnd w:id="6"/>
      <w:r>
        <w:commentReference w:id="6"/>
      </w:r>
      <w:r>
        <w:rPr>
          <w:rStyle w:val="Tojvnm2t"/>
        </w:rPr>
      </w:r>
    </w:p>
    <w:p>
      <w:pPr>
        <w:pStyle w:val="Normal"/>
        <w:ind w:hanging="0"/>
        <w:rPr/>
      </w:pPr>
      <w:r>
        <w:rPr>
          <w:rStyle w:val="Tojvnm2t"/>
        </w:rPr>
        <w:t>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r>
      <w:commentRangeStart w:id="7"/>
      <w:r>
        <w:rPr>
          <w:rStyle w:val="Tojvnm2t"/>
          <w:rFonts w:eastAsia="Times New Roman" w:cs="Times New Roman"/>
          <w:color w:val="auto"/>
          <w:kern w:val="0"/>
          <w:sz w:val="24"/>
          <w:szCs w:val="24"/>
          <w:lang w:val="lv-LV" w:eastAsia="en-US" w:bidi="ar-SA"/>
        </w:rPr>
        <w:tab/>
        <w:t>Sekundāri tiek izvērtēts vai modeļa sarežģītību un izskaidrojamību ir iespējams uzlabot, pirmkārt, aizvietojot sarežģītu modeļa izveides algoritmu ar vienkāršu (sarežģītības samazināšanas stratēģīja - vienkāršu modeļu izmantošana), otrkārt, veicot “labu” mainīgo izvēli un tad aizvietojot sarežģītu modeli ar vienkāršu.</w:t>
      </w:r>
      <w:commentRangeEnd w:id="7"/>
      <w:r>
        <w:commentReference w:id="7"/>
      </w:r>
      <w:r>
        <w:rPr>
          <w:rStyle w:val="Tojvnm2t"/>
          <w:rFonts w:eastAsia="Times New Roman" w:cs="Times New Roman"/>
          <w:color w:val="auto"/>
          <w:kern w:val="0"/>
          <w:sz w:val="24"/>
          <w:szCs w:val="24"/>
          <w:lang w:val="lv-LV" w:eastAsia="en-US" w:bidi="ar-SA"/>
        </w:rPr>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w:t>
      </w:r>
      <w:commentRangeStart w:id="8"/>
      <w:r>
        <w:rPr>
          <w:rStyle w:val="Tojvnm2t"/>
        </w:rPr>
        <w:t>literatūras</w:t>
      </w:r>
      <w:r>
        <w:rPr>
          <w:rStyle w:val="Tojvnm2t"/>
        </w:rPr>
      </w:r>
      <w:commentRangeEnd w:id="8"/>
      <w:r>
        <w:commentReference w:id="8"/>
      </w:r>
      <w:r>
        <w:rPr>
          <w:rStyle w:val="Tojvnm2t"/>
        </w:rPr>
        <w:t xml:space="preserve">. Hiperparametru optimizācija netika izvēlēta kā galvenais priekšmets, jo tā ir dziļi izpētīta, bieži izmantota metode mašīnmācīšanās nozarē. Turklāt hiperparametru optimizācija tikai netiešā veidā kontrolē modeļa struktūru, sarežģītību, izskaidrojamību. Savukārt datu pētnieciskā analīze netika izvēlēta kā galvenais priekšmets, jo tā ir pakļauta cilvēku subjektīvai analīzei un nav labi mērogojama datu kopām ar daudziem mainīgajiem. </w:t>
      </w:r>
    </w:p>
    <w:p>
      <w:pPr>
        <w:pStyle w:val="Normal"/>
        <w:ind w:hanging="0"/>
        <w:rPr/>
      </w:pPr>
      <w:r>
        <w:rPr>
          <w:rStyle w:val="Tojvnm2t"/>
        </w:rPr>
        <w:tab/>
        <w:t>Nākamajā nodaļā ir apskatīts izskaidrojamības jēdziens, motivācija izskaidrojamības nepieciešamībai mākslīgā intelekta (tālāk MI) sistēmās, izskaidrojamības taksonomisks sadalījums, izskaidrojamības vēsture.</w:t>
      </w:r>
    </w:p>
    <w:p>
      <w:pPr>
        <w:pStyle w:val="Heading2"/>
        <w:numPr>
          <w:ilvl w:val="1"/>
          <w:numId w:val="4"/>
        </w:numPr>
        <w:rPr/>
      </w:pPr>
      <w:bookmarkStart w:id="8" w:name="__RefHeading___Toc50249_2182101473"/>
      <w:bookmarkEnd w:id="8"/>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5"/>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5"/>
        </w:numPr>
        <w:rPr/>
      </w:pPr>
      <w:r>
        <w:rPr/>
        <w:t>izskaidrojamības metodes rezultāts;</w:t>
      </w:r>
    </w:p>
    <w:p>
      <w:pPr>
        <w:pStyle w:val="Normal"/>
        <w:numPr>
          <w:ilvl w:val="1"/>
          <w:numId w:val="5"/>
        </w:numPr>
        <w:rPr/>
      </w:pPr>
      <w:r>
        <w:rPr/>
        <w:t>mainīgā vispārīgs mērs – izskaidrojamības metodes, kas katram mainīgajam veido apkopojošu statistiku;</w:t>
      </w:r>
    </w:p>
    <w:p>
      <w:pPr>
        <w:pStyle w:val="Normal"/>
        <w:numPr>
          <w:ilvl w:val="1"/>
          <w:numId w:val="5"/>
        </w:numPr>
        <w:rPr/>
      </w:pPr>
      <w:r>
        <w:rPr/>
        <w:t>modeļa iekšējais stāvoklis – izskaidrojamu modeļu iekšējais stāvoklis, piemēram, lineārās regresijas gadījumā mainīgo koeficienti, lēmumu koku vizuāla reprezentācija;</w:t>
      </w:r>
    </w:p>
    <w:p>
      <w:pPr>
        <w:pStyle w:val="Normal"/>
        <w:numPr>
          <w:ilvl w:val="1"/>
          <w:numId w:val="5"/>
        </w:numPr>
        <w:rPr/>
      </w:pPr>
      <w:r>
        <w:rPr/>
        <w:t>piemēros bāzētas metodes – visas metodes, kas atgriež konkrētus datu piemērus (jau esošus vai uzģenerētus);</w:t>
      </w:r>
    </w:p>
    <w:p>
      <w:pPr>
        <w:pStyle w:val="Normal"/>
        <w:numPr>
          <w:ilvl w:val="1"/>
          <w:numId w:val="5"/>
        </w:numPr>
        <w:rPr/>
      </w:pPr>
      <w:r>
        <w:rPr/>
        <w:t>surogātveida izskaidrojams modelis – vienkāršāks, izskaidrojams modelis, kas aproksimē oriģinālā modeļa darbību;</w:t>
      </w:r>
    </w:p>
    <w:p>
      <w:pPr>
        <w:pStyle w:val="Normal"/>
        <w:numPr>
          <w:ilvl w:val="0"/>
          <w:numId w:val="5"/>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5"/>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4"/>
        </w:numPr>
        <w:rPr/>
      </w:pPr>
      <w:bookmarkStart w:id="9" w:name="__RefHeading___Toc50251_2182101473"/>
      <w:bookmarkEnd w:id="9"/>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0" w:name="wrcr23140-bib-0047R"/>
      <w:bookmarkEnd w:id="10"/>
      <w:r>
        <w:rPr/>
        <w:t>2017). Pastāv skaidras definīcijas, kas raksturo modeļa apmācības kvalitāti, diemžēl modeļa sarežģītībai neeksistē skaidras definīcijas. Tāpēc nepieciešama dziļāka izpēte modeļa sarežģītības terminam.</w:t>
      </w:r>
    </w:p>
    <w:p>
      <w:pPr>
        <w:pStyle w:val="Normal"/>
        <w:ind w:hanging="0"/>
        <w:rPr/>
      </w:pPr>
      <w:r>
        <w:rPr/>
        <w:tab/>
        <w:t>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 xml:space="preserve">Nākamajā nodaļā ir apskatīti praktiski piemēri MI sistēmu izstrādes vēsturē, kad MI praktiķi ir koncentrējušies uz MI sistēmu veiktspējas mēriem, nevis izskaidrojamību un sistēmas vērtības guvumu un pie kādām sekām tas ir novedis. Ir paskaidrots, kādi principi jāievēro, lai izveidotu vispārināmas </w:t>
      </w:r>
      <w:r>
        <w:rPr/>
        <w:commentReference w:id="9"/>
      </w:r>
      <w:r>
        <w:rPr>
          <w:rStyle w:val="Tojvnm2t"/>
        </w:rPr>
        <w:t>MI sistēmas.</w:t>
      </w:r>
    </w:p>
    <w:p>
      <w:pPr>
        <w:pStyle w:val="Heading2"/>
        <w:numPr>
          <w:ilvl w:val="1"/>
          <w:numId w:val="3"/>
        </w:numPr>
        <w:rPr>
          <w:rFonts w:cs="Times New Roman"/>
          <w:sz w:val="24"/>
          <w:szCs w:val="24"/>
        </w:rPr>
      </w:pPr>
      <w:bookmarkStart w:id="11" w:name="__RefHeading___Toc1953_3387015501"/>
      <w:bookmarkEnd w:id="11"/>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kvartetu, ko vēlā sāka saukt par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 xml:space="preserve">D'Amour, A. et al., </w:t>
      </w:r>
      <w:commentRangeStart w:id="10"/>
      <w:r>
        <w:rPr>
          <w:rStyle w:val="Quotation"/>
          <w:i w:val="false"/>
          <w:iCs w:val="false"/>
        </w:rPr>
        <w:t>2020</w:t>
      </w:r>
      <w:r>
        <w:rPr>
          <w:rStyle w:val="Quotation"/>
          <w:i w:val="false"/>
          <w:iCs w:val="false"/>
        </w:rPr>
      </w:r>
      <w:commentRangeEnd w:id="10"/>
      <w:r>
        <w:commentReference w:id="10"/>
      </w:r>
      <w:r>
        <w:rPr>
          <w:rStyle w:val="Quotation"/>
          <w:i w:val="false"/>
          <w:iCs w:val="false"/>
        </w:rPr>
        <w:t>)</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piedāvā vispārināmāku definīciju: “Kad mērs kļūst par mērķi, tas pārstāj būt par labu mēru”. Gudharta likumu taksonomiski var iedalīt 4 kategorijās (Manheim &amp; Garrabrant, 2018):</w:t>
      </w:r>
    </w:p>
    <w:p>
      <w:pPr>
        <w:pStyle w:val="Normal"/>
        <w:numPr>
          <w:ilvl w:val="0"/>
          <w:numId w:val="6"/>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6"/>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6"/>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6"/>
        </w:numPr>
        <w:rPr/>
      </w:pPr>
      <w:r>
        <w:rPr>
          <w:rStyle w:val="Tojvnm2t"/>
        </w:rPr>
        <w:t>pretiniecisks Gudharta likums.</w:t>
      </w:r>
    </w:p>
    <w:p>
      <w:pPr>
        <w:pStyle w:val="PreformattedText"/>
        <w:ind w:left="1296" w:hanging="0"/>
        <w:rPr/>
      </w:pPr>
      <w:bookmarkStart w:id="12" w:name="tw-target-text8"/>
      <w:bookmarkEnd w:id="12"/>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3" w:name="tw-target-text9"/>
      <w:bookmarkEnd w:id="13"/>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r>
      <w:commentRangeStart w:id="11"/>
      <w:r>
        <w:rPr/>
        <w:t>Izskaidrojamības</w:t>
      </w:r>
      <w:r>
        <w:rPr/>
      </w:r>
      <w:commentRangeEnd w:id="11"/>
      <w:r>
        <w:commentReference w:id="11"/>
      </w:r>
      <w:r>
        <w:rPr/>
        <w:t xml:space="preserve">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 t.i, atlasīt metodes, kas tiks eksperimentāli salīdzinātas bakalaura darba praktiskā risinājuma daļā.</w:t>
      </w:r>
    </w:p>
    <w:p>
      <w:pPr>
        <w:pStyle w:val="Heading1"/>
        <w:numPr>
          <w:ilvl w:val="0"/>
          <w:numId w:val="4"/>
        </w:numPr>
        <w:ind w:left="1151" w:hanging="431"/>
        <w:rPr/>
      </w:pPr>
      <w:bookmarkStart w:id="14" w:name="__RefHeading___Toc50255_2182101473"/>
      <w:bookmarkEnd w:id="14"/>
      <w:r>
        <w:rPr/>
        <w:t>Mainīgo izvēles metodes</w:t>
      </w:r>
    </w:p>
    <w:p>
      <w:pPr>
        <w:pStyle w:val="Normal"/>
        <w:ind w:hanging="0"/>
        <w:rPr>
          <w:color w:val="000000"/>
          <w:highlight w:val="yellow"/>
        </w:rPr>
      </w:pPr>
      <w:r>
        <w:rPr>
          <w:color w:val="000000"/>
          <w:highlight w:val="yellow"/>
        </w:rPr>
        <w:tab/>
        <w:t xml:space="preserve">te vispirms vajadzētu vēlreiz atgādināt un sasaistīt ar sarežģītības samazināšanu un izskaidrojamību, ka mainīgo izvēle ir galvenā </w:t>
      </w:r>
      <w:commentRangeStart w:id="12"/>
      <w:r>
        <w:rPr>
          <w:color w:val="000000"/>
          <w:highlight w:val="yellow"/>
        </w:rPr>
        <w:t>komponente</w:t>
      </w:r>
      <w:r>
        <w:rPr>
          <w:color w:val="000000"/>
          <w:highlight w:val="yellow"/>
        </w:rPr>
      </w:r>
      <w:commentRangeEnd w:id="12"/>
      <w:r>
        <w:commentReference w:id="12"/>
      </w:r>
      <w:r>
        <w:rPr>
          <w:color w:val="000000"/>
          <w:highlight w:val="yellow"/>
        </w:rPr>
        <w:t xml:space="preserve"> globālā</w:t>
      </w:r>
      <w:r>
        <w:rPr/>
        <w:commentReference w:id="13"/>
      </w:r>
      <w:r>
        <w:rPr>
          <w:color w:val="000000"/>
          <w:highlight w:val="yellow"/>
        </w:rPr>
        <w:t xml:space="preserve">s izskaidrojamības un arī attiecīgi sarežģītības samazināšanas metodēs. Savukārt, lai mainīgo skaitu varētu samazināt ir nepieciešams noteikt to svarīgumu. </w:t>
      </w:r>
    </w:p>
    <w:p>
      <w:pPr>
        <w:pStyle w:val="Normal"/>
        <w:ind w:hanging="0"/>
        <w:rPr/>
      </w:pPr>
      <w:r>
        <w:rPr/>
        <w:tab/>
        <w:t>Konkrētas globālas izskaidrojamības metodes ir izvēlētas, pirmkārt pētot ietvarā Scikitlearn (versija 0.24.0) pieejamās metodes, otrkārt zinātnisko literatūru. Tā rezultātā tālākai analīzei ir atlasītas šādas metodes - Pīrsona, Spīrmena, Kendala korelācijas, kritērija guvums, permutācijas mainīgo svarīgums, abpusējas informācijas mērs, F-tests, TreeSHAP mainīgo svarīgums, paredzošā spēka mērs).</w:t>
      </w:r>
    </w:p>
    <w:p>
      <w:pPr>
        <w:pStyle w:val="Normal"/>
        <w:ind w:hanging="0"/>
        <w:rPr/>
      </w:pPr>
      <w:r>
        <w:rPr/>
        <w:tab/>
        <w:t xml:space="preserve">Darbā tika apsvērts analizēt arī metodi Boruta (Kursa, 2010), bet algoritmiskas nesaderības (ar CART algoritmiem) un zemās ātrdarbības dēļ metodes analīze netika veikta. Bakalaura darbā netiek apskatītas lokālas izskaidrojamības metodes (Molnar, 2019),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un līdz ar to ir ārpus bakalaura darba mērķa. </w:t>
        <w:tab/>
      </w:r>
    </w:p>
    <w:p>
      <w:pPr>
        <w:pStyle w:val="Heading2"/>
        <w:numPr>
          <w:ilvl w:val="1"/>
          <w:numId w:val="4"/>
        </w:numPr>
        <w:rPr/>
      </w:pPr>
      <w:bookmarkStart w:id="15" w:name="__RefHeading___Toc10763_4027635924"/>
      <w:bookmarkEnd w:id="15"/>
      <w:r>
        <w:rPr/>
        <w:t>Filtra metodes</w:t>
      </w:r>
    </w:p>
    <w:p>
      <w:pPr>
        <w:pStyle w:val="Normal"/>
        <w:rPr>
          <w:rFonts w:cs="Arial"/>
          <w:b/>
          <w:b/>
          <w:bCs/>
          <w:iCs/>
          <w:sz w:val="28"/>
          <w:szCs w:val="28"/>
        </w:rPr>
      </w:pPr>
      <w:r>
        <w:rPr/>
        <w:t xml:space="preserve">Filtra metodes ir visvienkāršākās mainīgo izvēles metodes. Filtra metodes tiek pielietotas ne tikai mašīnmācīšanās nozarē, bet arī statistikā un datizracē. </w:t>
      </w:r>
      <w:r>
        <w:rPr>
          <w:rFonts w:eastAsia="Times New Roman" w:cs="Times New Roman"/>
          <w:color w:val="auto"/>
          <w:kern w:val="0"/>
          <w:sz w:val="24"/>
          <w:szCs w:val="24"/>
          <w:lang w:val="lv-LV" w:eastAsia="en-US" w:bidi="ar-SA"/>
        </w:rPr>
        <w:t>Bakalaura darbā</w:t>
      </w:r>
      <w:r>
        <w:rPr/>
        <w:t xml:space="preserve"> apskatīta tikai apakškopa no visām filtra metodēm. Filtra metodes var iedalīt 2 kategorijās  robežvērtības un </w:t>
      </w:r>
      <w:r>
        <w:rPr>
          <w:rFonts w:eastAsia="Times New Roman" w:cs="Times New Roman"/>
          <w:color w:val="auto"/>
          <w:kern w:val="0"/>
          <w:sz w:val="24"/>
          <w:szCs w:val="24"/>
          <w:lang w:val="lv-LV" w:eastAsia="en-US" w:bidi="ar-SA"/>
        </w:rPr>
        <w:t>ranžēšanas mainīgo izvēles</w:t>
      </w:r>
      <w:r>
        <w:rPr/>
        <w:t xml:space="preserve"> metodēs. Bakalaura darbā ir pētītas tikai </w:t>
      </w:r>
      <w:r>
        <w:rPr>
          <w:rFonts w:eastAsia="Times New Roman" w:cs="Times New Roman"/>
          <w:color w:val="auto"/>
          <w:kern w:val="0"/>
          <w:sz w:val="24"/>
          <w:szCs w:val="24"/>
          <w:lang w:val="lv-LV" w:eastAsia="en-US" w:bidi="ar-SA"/>
        </w:rPr>
        <w:t>ranžēšanas mainīgo izvēles metodes</w:t>
      </w:r>
      <w:r>
        <w:rPr/>
        <w:t xml:space="preserve">, jo robežvērtības </w:t>
      </w:r>
      <w:r>
        <w:rPr>
          <w:rFonts w:eastAsia="Times New Roman" w:cs="Times New Roman"/>
          <w:color w:val="auto"/>
          <w:kern w:val="0"/>
          <w:sz w:val="24"/>
          <w:szCs w:val="24"/>
          <w:lang w:val="lv-LV" w:eastAsia="en-US" w:bidi="ar-SA"/>
        </w:rPr>
        <w:t xml:space="preserve">mainīgo izvēles </w:t>
      </w:r>
      <w:r>
        <w:rPr/>
        <w:t>metodes (dispersijas, savstarpējās korelācijas, trūkstošo vērtību filtrs) nespēj ranžēt mainīgos pēc to svarīguma, un ir jāizvēlas subjektīva robežvērtība, bet darba mērķis ir objektīvs salīdzinājums, balstoties uz izmērāmiem kritērijiem.</w:t>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7"/>
        </w:numPr>
        <w:rPr/>
      </w:pPr>
      <w:bookmarkStart w:id="16" w:name="__RefHeading___Toc10765_4027635924"/>
      <w:bookmarkEnd w:id="16"/>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8"/>
        </w:numPr>
        <w:ind w:left="0" w:hanging="0"/>
        <w:rPr/>
      </w:pPr>
      <w:bookmarkStart w:id="17" w:name="__RefHeading___Toc12892_4027635924"/>
      <w:bookmarkEnd w:id="17"/>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 Matemātiski Spīrmena koeficients ir definēts formulā</w:t>
      </w:r>
      <w:r>
        <w:rPr/>
        <w:t>s 1.1, 1.2 un 1.3.</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8"/>
        </w:numPr>
        <w:ind w:left="0" w:hanging="0"/>
        <w:rPr/>
      </w:pPr>
      <w:bookmarkStart w:id="18" w:name="__RefHeading___Toc5993_1926664601"/>
      <w:bookmarkEnd w:id="18"/>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 xml:space="preserve">Matemātiski Kendala koeficients ir definēts formulā 1.1 </w:t>
      </w:r>
      <w:r>
        <w:rPr>
          <w:iCs/>
        </w:rPr>
        <w:t>un 1.2</w:t>
      </w:r>
      <w:r>
        <w:rPr>
          <w:iCs/>
        </w:rPr>
        <w:t>:</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r>
      <w:r>
        <w:rPr>
          <w:iCs/>
        </w:rPr>
        <w:t>(1.1)</w:t>
      </w:r>
    </w:p>
    <w:p>
      <w:pPr>
        <w:pStyle w:val="Normal"/>
        <w:ind w:hanging="0"/>
        <w:rPr>
          <w:iCs/>
        </w:rPr>
      </w:pPr>
      <w:r>
        <w:rPr>
          <w:iCs/>
        </w:rPr>
        <w:t>kur</w:t>
      </w:r>
    </w:p>
    <w:p>
      <w:pPr>
        <w:pStyle w:val="Normal"/>
        <w:ind w:hanging="0"/>
        <w:rPr/>
      </w:pPr>
      <w:r>
        <w:rPr>
          <w:iCs/>
          <w:vertAlign w:val="subscript"/>
        </w:rPr>
        <w:tab/>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p>
    <w:p>
      <w:pPr>
        <w:pStyle w:val="Heading3"/>
        <w:numPr>
          <w:ilvl w:val="2"/>
          <w:numId w:val="8"/>
        </w:numPr>
        <w:ind w:left="0" w:hanging="0"/>
        <w:rPr>
          <w:iCs/>
          <w:sz w:val="28"/>
          <w:szCs w:val="28"/>
        </w:rPr>
      </w:pPr>
      <w:bookmarkStart w:id="19" w:name="__RefHeading___Toc5995_1926664601"/>
      <w:bookmarkEnd w:id="19"/>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8"/>
        </w:numPr>
        <w:ind w:left="0" w:hanging="0"/>
        <w:rPr>
          <w:iCs/>
          <w:sz w:val="28"/>
          <w:szCs w:val="28"/>
        </w:rPr>
      </w:pPr>
      <w:bookmarkStart w:id="20" w:name="__RefHeading___Toc6003_1926664601"/>
      <w:bookmarkEnd w:id="20"/>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w:t>
      </w:r>
      <w:r>
        <w:rPr/>
        <w:t>ā</w:t>
      </w:r>
      <w:r>
        <w:rPr/>
        <w:t>r otru mainīgo. To arī var aprakstīt kā nenoteiktības (uncertainty) mazinājumu vienam mainīgajam p</w:t>
      </w:r>
      <w:r>
        <w:rPr/>
        <w:t>ā</w:t>
      </w:r>
      <w:r>
        <w:rPr/>
        <w:t>r otru zināšanu dēļ. Matemātiski abpusējas informācijas mēru aprakst</w:t>
      </w:r>
      <w:r>
        <w:rPr/>
        <w:t>īts</w:t>
      </w:r>
      <w:r>
        <w:rPr/>
        <w:t xml:space="preserve"> formul</w:t>
      </w:r>
      <w:r>
        <w:rPr/>
        <w:t xml:space="preserve">ā </w:t>
      </w:r>
      <w:r>
        <w:rPr/>
        <w:t>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(1.1)</w:t>
      </w:r>
    </w:p>
    <w:p>
      <w:pPr>
        <w:pStyle w:val="Normal"/>
        <w:ind w:hanging="0"/>
        <w:rPr>
          <w:rFonts w:cs="Arial"/>
          <w:iCs/>
        </w:rPr>
      </w:pPr>
      <w:r>
        <w:rPr>
          <w:rFonts w:cs="Arial"/>
          <w:iCs/>
        </w:rPr>
        <w:t>kur I (X; Y) – abpusējas informācijas mērs</w:t>
      </w:r>
    </w:p>
    <w:p>
      <w:pPr>
        <w:pStyle w:val="Normal"/>
        <w:ind w:hanging="0"/>
        <w:rPr>
          <w:rFonts w:cs="Arial"/>
          <w:iCs/>
        </w:rPr>
      </w:pPr>
      <w:r>
        <w:rPr>
          <w:rFonts w:cs="Arial"/>
          <w:iCs/>
        </w:rPr>
        <w:t>p(x, y) – kopīgas varbūtības masas funkcija x un y</w:t>
      </w:r>
    </w:p>
    <w:p>
      <w:pPr>
        <w:pStyle w:val="Normal"/>
        <w:ind w:hanging="0"/>
        <w:rPr>
          <w:rFonts w:cs="Arial"/>
          <w:iCs/>
        </w:rPr>
      </w:pPr>
      <w:r>
        <w:rPr>
          <w:rFonts w:cs="Arial"/>
          <w:iCs/>
        </w:rPr>
        <w:t xml:space="preserve">p(x) - </w:t>
      </w:r>
      <w:bookmarkStart w:id="21" w:name="tw-target-text1"/>
      <w:bookmarkEnd w:id="21"/>
      <w:r>
        <w:rPr>
          <w:lang w:val="lv-LV"/>
        </w:rPr>
        <w:t xml:space="preserve">robežas varbūtības masas funkcija </w:t>
      </w:r>
      <w:r>
        <w:rPr>
          <w:lang w:val="lv-LV"/>
        </w:rPr>
        <w:t>x</w:t>
      </w:r>
    </w:p>
    <w:p>
      <w:pPr>
        <w:pStyle w:val="Normal"/>
        <w:ind w:hanging="0"/>
        <w:rPr>
          <w:rFonts w:cs="Arial"/>
          <w:iCs/>
        </w:rPr>
      </w:pPr>
      <w:r>
        <w:rPr>
          <w:rFonts w:cs="Arial"/>
          <w:iCs/>
        </w:rPr>
        <w:t xml:space="preserve">p(y) - </w:t>
      </w:r>
      <w:bookmarkStart w:id="22" w:name="tw-target-text2"/>
      <w:bookmarkEnd w:id="22"/>
      <w:r>
        <w:rPr>
          <w:lang w:val="lv-LV"/>
        </w:rPr>
        <w:t xml:space="preserve">robežas varbūtības masas funkcija </w:t>
      </w:r>
      <w:r>
        <w:rPr>
          <w:lang w:val="lv-LV"/>
        </w:rPr>
        <w:t>y</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8"/>
        </w:numPr>
        <w:rPr/>
      </w:pPr>
      <w:bookmarkStart w:id="23" w:name="__RefHeading___Toc8327_1926664601"/>
      <w:bookmarkEnd w:id="23"/>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w:t>
      </w:r>
      <w:r>
        <w:rPr/>
        <w:t>3</w:t>
      </w:r>
      <w:r>
        <w:rPr/>
        <w:t>:</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(1.</w:t>
      </w:r>
      <w:r>
        <w:rPr>
          <w:rFonts w:cs="Arial"/>
          <w:iCs/>
        </w:rPr>
        <w:t>2</w:t>
      </w:r>
      <w:r>
        <w:rPr>
          <w:rFonts w:cs="Arial"/>
          <w:iCs/>
        </w:rPr>
        <w:t>)</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(1.</w:t>
      </w:r>
      <w:r>
        <w:rPr>
          <w:rFonts w:cs="Arial"/>
          <w:iCs/>
        </w:rPr>
        <w:t>3</w:t>
      </w:r>
      <w:r>
        <w:rPr>
          <w:rFonts w:cs="Arial"/>
          <w:iCs/>
        </w:rPr>
        <w:t>)</w:t>
      </w:r>
    </w:p>
    <w:p>
      <w:pPr>
        <w:pStyle w:val="Normal"/>
        <w:ind w:hanging="0"/>
        <w:rPr>
          <w:rFonts w:cs="Arial"/>
          <w:iCs/>
        </w:rPr>
      </w:pPr>
      <w:r>
        <w:rPr/>
      </w:r>
    </w:p>
    <w:p>
      <w:pPr>
        <w:pStyle w:val="Normal"/>
        <w:ind w:hanging="0"/>
        <w:rPr/>
      </w:pPr>
      <w:r>
        <w:rPr/>
        <w:t>kur F – viena faktora ANOVA F-vērtības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ind w:hanging="0"/>
        <w:rPr/>
      </w:pPr>
      <w:r>
        <w:rPr/>
      </w:r>
    </w:p>
    <w:p>
      <w:pPr>
        <w:pStyle w:val="Normal"/>
        <w:ind w:hanging="0"/>
        <w:rPr/>
      </w:pPr>
      <w:r>
        <w:rPr/>
        <w:tab/>
        <w:t>F-testa metode regresijas aprēķina Pīrsona (apskatīts nodaļā 2.1.1) koeficienta  kvadrāts (Determinācijas koeficients). Determinācijas koeficients izmantots, lai nodrošinātu saderību ar regresijas datiem.</w:t>
      </w:r>
    </w:p>
    <w:p>
      <w:pPr>
        <w:pStyle w:val="Normal"/>
        <w:rPr/>
      </w:pPr>
      <w:r>
        <w:rPr/>
      </w:r>
      <w:r>
        <w:br w:type="page"/>
      </w:r>
    </w:p>
    <w:p>
      <w:pPr>
        <w:pStyle w:val="Heading2"/>
        <w:numPr>
          <w:ilvl w:val="1"/>
          <w:numId w:val="4"/>
        </w:numPr>
        <w:rPr/>
      </w:pPr>
      <w:bookmarkStart w:id="24" w:name="__RefHeading___Toc8329_1926664601"/>
      <w:bookmarkEnd w:id="24"/>
      <w:r>
        <w:rPr/>
        <w:t>Ietvertās  metodes</w:t>
      </w:r>
    </w:p>
    <w:p>
      <w:pPr>
        <w:pStyle w:val="Normal"/>
        <w:ind w:hanging="0"/>
        <w:rPr/>
      </w:pPr>
      <w:r>
        <w:rPr>
          <w:rStyle w:val="Tojvnm2t"/>
        </w:rPr>
        <w:tab/>
        <w:t xml:space="preserve">Cita globālās izskaidrojamības metožu grupa ir ietvertās metodes. Tās izmanto modeļa veidošanas mehānismu, apmācības laikā aprēķinot mainīgā “lietderību” modelim. Lēmumu kokiem var pielietot  tikai vienu no ietvertajām  metodeēm– kritērija guvuma mērs. Kritērija guvuma mēra metodei pastāv </w:t>
      </w:r>
      <w:commentRangeStart w:id="14"/>
      <w:r>
        <w:rPr>
          <w:rStyle w:val="Tojvnm2t"/>
        </w:rPr>
        <w:t xml:space="preserve">daudzas variācijas, </w:t>
      </w:r>
      <w:r>
        <w:rPr>
          <w:rStyle w:val="Tojvnm2t"/>
        </w:rPr>
      </w:r>
      <w:commentRangeEnd w:id="14"/>
      <w:r>
        <w:commentReference w:id="14"/>
      </w:r>
      <w:r>
        <w:rPr>
          <w:rStyle w:val="Tojvnm2t"/>
        </w:rPr>
        <w:t xml:space="preserve">piemēram, XGBoost (Chen &amp; </w:t>
      </w:r>
      <w:r>
        <w:rPr>
          <w:rStyle w:val="Quotation"/>
          <w:i w:val="false"/>
          <w:iCs w:val="false"/>
        </w:rPr>
        <w:t>Guestrin</w:t>
      </w:r>
      <w:r>
        <w:rPr>
          <w:rStyle w:val="Tojvnm2t"/>
        </w:rPr>
        <w:t>, 2016) piedāvā saskaitīt, cik reizes mainīgais ir izmantots, nevis tā modeļa kritērija guvumu.</w:t>
      </w:r>
    </w:p>
    <w:p>
      <w:pPr>
        <w:pStyle w:val="Normal"/>
        <w:ind w:hanging="0"/>
        <w:rPr/>
      </w:pPr>
      <w:r>
        <w:rPr>
          <w:rStyle w:val="Tojvnm2t"/>
        </w:rPr>
        <w:t xml:space="preserve">Vēlviens piemērs, ir kritērija seguma aprēķins. Tiek aprēķināts vidējais segums (mainīgā </w:t>
      </w:r>
      <w:r>
        <w:rPr>
          <w:rStyle w:val="Tojvnm2t"/>
          <w:rFonts w:eastAsia="Times New Roman" w:cs="Times New Roman"/>
          <w:color w:val="auto"/>
          <w:kern w:val="0"/>
          <w:sz w:val="24"/>
          <w:szCs w:val="24"/>
          <w:lang w:val="lv-LV" w:eastAsia="en-US" w:bidi="ar-SA"/>
        </w:rPr>
        <w:t>sadalīto paraugu skaits).</w:t>
      </w:r>
      <w:r>
        <w:rPr>
          <w:rStyle w:val="Tojvnm2t"/>
        </w:rPr>
        <w:t xml:space="preserve">Variācijas netiek apskatītas, jo visi lēmumu koki neatbalsta metodes variāciju aprēķinus. </w:t>
      </w:r>
    </w:p>
    <w:p>
      <w:pPr>
        <w:pStyle w:val="Avirsraksts1beznum"/>
        <w:numPr>
          <w:ilvl w:val="0"/>
          <w:numId w:val="0"/>
        </w:numPr>
        <w:ind w:left="2847" w:hanging="0"/>
        <w:rPr/>
      </w:pPr>
      <w:bookmarkStart w:id="25" w:name="__RefHeading___Toc8331_1926664601"/>
      <w:bookmarkEnd w:id="25"/>
      <w:r>
        <w:rPr/>
        <w:t xml:space="preserve">Kritērija guvuma </w:t>
      </w:r>
      <w:commentRangeStart w:id="15"/>
      <w:r>
        <w:rPr/>
        <w:t>mērs</w:t>
      </w:r>
      <w:commentRangeEnd w:id="15"/>
      <w:r>
        <w:commentReference w:id="15"/>
      </w:r>
      <w:r>
        <w:rPr/>
      </w:r>
    </w:p>
    <w:p>
      <w:pPr>
        <w:pStyle w:val="Normal"/>
        <w:rPr>
          <w:rFonts w:cs="Arial"/>
          <w:iCs/>
        </w:rPr>
      </w:pPr>
      <w:r>
        <w:rPr>
          <w:rFonts w:cs="Arial"/>
          <w:iCs/>
        </w:rPr>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kur 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4"/>
        </w:numPr>
        <w:ind w:left="1296" w:hanging="0"/>
        <w:rPr/>
      </w:pPr>
      <w:bookmarkStart w:id="26" w:name="__RefHeading___Toc8333_1926664601"/>
      <w:bookmarkEnd w:id="26"/>
      <w:r>
        <w:rPr/>
        <w:t>Aptinuma metodes</w:t>
      </w:r>
    </w:p>
    <w:p>
      <w:pPr>
        <w:pStyle w:val="Normal"/>
        <w:ind w:hanging="0"/>
        <w:rPr>
          <w:rFonts w:cs="Arial"/>
          <w:b/>
          <w:b/>
          <w:bCs/>
          <w:iCs/>
          <w:sz w:val="28"/>
          <w:szCs w:val="28"/>
        </w:rPr>
      </w:pPr>
      <w:r>
        <w:rPr>
          <w:rStyle w:val="Tojvnm2t"/>
          <w:iCs/>
        </w:rPr>
        <w:tab/>
        <w:t xml:space="preserve">Trešā no </w:t>
      </w:r>
      <w:r>
        <w:rPr>
          <w:rStyle w:val="Tojvnm2t"/>
          <w:rFonts w:eastAsia="Times New Roman" w:cs="Times New Roman"/>
          <w:iCs/>
          <w:color w:val="auto"/>
          <w:kern w:val="0"/>
          <w:sz w:val="24"/>
          <w:szCs w:val="24"/>
          <w:lang w:val="lv-LV" w:eastAsia="en-US" w:bidi="ar-SA"/>
        </w:rPr>
        <w:t>mainīgo</w:t>
      </w:r>
      <w:r>
        <w:rPr>
          <w:rStyle w:val="Tojvnm2t"/>
          <w:iCs/>
        </w:rPr>
        <w:t xml:space="preserve"> </w:t>
      </w:r>
      <w:r>
        <w:rPr>
          <w:rStyle w:val="Tojvnm2t"/>
          <w:rFonts w:eastAsia="Times New Roman" w:cs="Times New Roman"/>
          <w:iCs/>
          <w:color w:val="auto"/>
          <w:kern w:val="0"/>
          <w:sz w:val="24"/>
          <w:szCs w:val="24"/>
          <w:lang w:val="lv-LV" w:eastAsia="en-US" w:bidi="ar-SA"/>
        </w:rPr>
        <w:t xml:space="preserve">izvēles </w:t>
      </w:r>
      <w:r>
        <w:rPr>
          <w:rStyle w:val="Tojvnm2t"/>
          <w:iCs/>
        </w:rPr>
        <w:t>metožu grupā ir aptinuma metodes, kas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to zemā ātrdarbība. Bakalaura darbā ir salīdzinātas 2 aptinuma metodes – p</w:t>
      </w:r>
      <w:r>
        <w:rPr>
          <w:rStyle w:val="Tojvnm2t"/>
          <w:rFonts w:eastAsia="Times New Roman" w:cs="Times New Roman"/>
          <w:iCs/>
          <w:color w:val="auto"/>
          <w:kern w:val="0"/>
          <w:sz w:val="24"/>
          <w:szCs w:val="24"/>
          <w:lang w:val="lv-LV" w:eastAsia="en-US" w:bidi="ar-SA"/>
        </w:rPr>
        <w:t>ermutācijas mainīgo svarīgums, TreeSHAP mainīgo svarīgums</w:t>
      </w:r>
      <w:r>
        <w:rPr>
          <w:rStyle w:val="Tojvnm2t"/>
          <w:iCs/>
        </w:rPr>
        <w:t>.</w:t>
      </w:r>
    </w:p>
    <w:p>
      <w:pPr>
        <w:pStyle w:val="Normal"/>
        <w:ind w:left="1296" w:hanging="0"/>
        <w:rPr>
          <w:rFonts w:cs="Arial"/>
          <w:b/>
          <w:b/>
          <w:bCs/>
          <w:iCs/>
          <w:sz w:val="28"/>
          <w:szCs w:val="28"/>
        </w:rPr>
      </w:pPr>
      <w:r>
        <w:rPr>
          <w:rFonts w:cs="Arial"/>
          <w:b/>
          <w:bCs/>
          <w:iCs/>
          <w:sz w:val="28"/>
          <w:szCs w:val="28"/>
        </w:rPr>
      </w:r>
    </w:p>
    <w:p>
      <w:pPr>
        <w:pStyle w:val="Heading3"/>
        <w:ind w:left="6675" w:firstLine="720"/>
        <w:rPr>
          <w:iCs/>
          <w:sz w:val="28"/>
          <w:szCs w:val="28"/>
        </w:rPr>
      </w:pPr>
      <w:bookmarkStart w:id="27" w:name="__RefHeading___Toc8335_1926664601"/>
      <w:bookmarkEnd w:id="27"/>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iCs/>
          <w:vertAlign w:val="subscript"/>
        </w:rPr>
      </w:pPr>
      <w:r>
        <w:rPr>
          <w:sz w:val="24"/>
          <w:szCs w:val="24"/>
        </w:rPr>
      </w:r>
    </w:p>
    <w:p>
      <w:pPr>
        <w:pStyle w:val="Normal"/>
        <w:rPr>
          <w:sz w:val="24"/>
          <w:szCs w:val="24"/>
        </w:rPr>
      </w:pPr>
      <w:r>
        <w:rPr>
          <w:sz w:val="24"/>
          <w:szCs w:val="24"/>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sz w:val="24"/>
          <w:szCs w:val="24"/>
          <w:vertAlign w:val="subscript"/>
        </w:rPr>
        <w:t xml:space="preserve">    </w:t>
      </w:r>
      <w:r>
        <w:rPr>
          <w:iCs/>
          <w:sz w:val="24"/>
          <w:szCs w:val="24"/>
        </w:rPr>
        <w:t>(1.1)</w:t>
      </w:r>
    </w:p>
    <w:p>
      <w:pPr>
        <w:pStyle w:val="Normal"/>
        <w:rPr/>
      </w:pPr>
      <w:r>
        <w:rPr>
          <w:iCs/>
        </w:rPr>
        <w:t>kur</w:t>
      </w:r>
    </w:p>
    <w:p>
      <w:pPr>
        <w:pStyle w:val="Normal"/>
        <w:rPr/>
      </w:pPr>
      <w:r>
        <w:rPr>
          <w:rFonts w:cs="Arial"/>
          <w:iCs/>
        </w:rPr>
        <w:t>Imp (X</w:t>
      </w:r>
      <w:r>
        <w:rPr>
          <w:rFonts w:cs="Arial"/>
          <w:iCs/>
          <w:vertAlign w:val="subscript"/>
        </w:rPr>
        <w:t>j</w:t>
      </w:r>
      <w:r>
        <w:rPr>
          <w:rFonts w:cs="Arial"/>
          <w:iCs/>
        </w:rPr>
        <w:t>) – mainīga j svarīgums</w:t>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w:t>
      </w:r>
      <w:r>
        <w:rPr>
          <w:vertAlign w:val="subscript"/>
        </w:rPr>
        <w:t xml:space="preserve">j </w:t>
      </w:r>
      <w:r>
        <w:rPr>
          <w:position w:val="0"/>
          <w:sz w:val="24"/>
          <w:vertAlign w:val="baseline"/>
        </w:rPr>
        <w:t>(</w:t>
      </w:r>
      <w:r>
        <w:rPr>
          <w:rFonts w:cs="Arial" w:ascii="sans-serif" w:hAnsi="sans-serif"/>
          <w:iCs/>
          <w:sz w:val="20"/>
        </w:rPr>
        <w:t>Λ</w:t>
      </w:r>
      <w:r>
        <w:rPr>
          <w:rFonts w:cs="Arial" w:ascii="sans-serif" w:hAnsi="sans-serif"/>
          <w:iCs/>
          <w:sz w:val="20"/>
        </w:rPr>
        <w:t>)</w:t>
      </w:r>
      <w:r>
        <w:rPr>
          <w:rFonts w:cs="Arial"/>
          <w:iCs/>
        </w:rPr>
        <w:t xml:space="preserve">– replika </w:t>
      </w:r>
      <w:r>
        <w:rPr>
          <w:rFonts w:cs="Arial"/>
          <w:iCs/>
        </w:rPr>
        <w:t>(kopija)</w:t>
      </w:r>
      <w:r>
        <w:rPr>
          <w:rFonts w:cs="Arial"/>
          <w:iCs/>
        </w:rPr>
        <w:t xml:space="preserve">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r>
        <w:br w:type="page"/>
      </w:r>
    </w:p>
    <w:p>
      <w:pPr>
        <w:pStyle w:val="Normal"/>
        <w:ind w:hanging="0"/>
        <w:rPr>
          <w:rFonts w:cs="Arial"/>
          <w:iCs/>
        </w:rPr>
      </w:pPr>
      <w:r>
        <w:rPr>
          <w:rFonts w:cs="Arial"/>
          <w:iCs/>
        </w:rPr>
      </w:r>
    </w:p>
    <w:p>
      <w:pPr>
        <w:pStyle w:val="Heading3"/>
        <w:ind w:left="6675" w:firstLine="720"/>
        <w:rPr/>
      </w:pPr>
      <w:bookmarkStart w:id="28" w:name="__RefHeading___Toc1907_3704354823"/>
      <w:bookmarkEnd w:id="28"/>
      <w:r>
        <w:rPr>
          <w:rStyle w:val="Emphasis"/>
          <w:i w:val="false"/>
          <w:iCs w:val="false"/>
        </w:rPr>
        <w:t>TreeSHAP mainīgo svarīgums</w:t>
      </w:r>
    </w:p>
    <w:p>
      <w:pPr>
        <w:pStyle w:val="Normal"/>
        <w:ind w:hanging="0"/>
        <w:rPr>
          <w:rFonts w:cs="Arial"/>
          <w:iCs/>
        </w:rPr>
      </w:pPr>
      <w:r>
        <w:rPr>
          <w:rFonts w:cs="Arial"/>
          <w:iCs/>
        </w:rPr>
        <w:t>Lai izprastu TreeSHAP (Molnar, 2019) algoritma darbību, nepieciešams raksturot:</w:t>
      </w:r>
    </w:p>
    <w:p>
      <w:pPr>
        <w:pStyle w:val="Normal"/>
        <w:numPr>
          <w:ilvl w:val="0"/>
          <w:numId w:val="18"/>
        </w:numPr>
        <w:rPr/>
      </w:pPr>
      <w:r>
        <w:rPr>
          <w:rFonts w:cs="Arial"/>
          <w:iCs/>
        </w:rPr>
        <w:t>Šaplija vertības;</w:t>
      </w:r>
    </w:p>
    <w:p>
      <w:pPr>
        <w:pStyle w:val="Normal"/>
        <w:numPr>
          <w:ilvl w:val="0"/>
          <w:numId w:val="18"/>
        </w:numPr>
        <w:rPr/>
      </w:pPr>
      <w:r>
        <w:rPr>
          <w:rFonts w:cs="Arial"/>
          <w:iCs/>
        </w:rPr>
        <w:t>Summāra mainīgo attiecinājuma (attribution) metodi;</w:t>
      </w:r>
    </w:p>
    <w:p>
      <w:pPr>
        <w:pStyle w:val="Normal"/>
        <w:numPr>
          <w:ilvl w:val="0"/>
          <w:numId w:val="18"/>
        </w:numPr>
        <w:rPr/>
      </w:pPr>
      <w:r>
        <w:rPr>
          <w:rFonts w:cs="Arial"/>
          <w:iCs/>
        </w:rPr>
        <w:t>TreeSHAP darbības principu;</w:t>
      </w:r>
    </w:p>
    <w:p>
      <w:pPr>
        <w:pStyle w:val="Normal"/>
        <w:numPr>
          <w:ilvl w:val="0"/>
          <w:numId w:val="18"/>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29" w:name="MJXc-Node-7991"/>
      <w:bookmarkStart w:id="30" w:name="MJXc-Node-7971"/>
      <w:bookmarkStart w:id="31" w:name="MJXc-Node-7981"/>
      <w:bookmarkEnd w:id="29"/>
      <w:bookmarkEnd w:id="30"/>
      <w:bookmarkEnd w:id="31"/>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4"/>
        </w:numPr>
        <w:rPr/>
      </w:pPr>
      <w:bookmarkStart w:id="32" w:name="__RefHeading___Toc1911_3704354823"/>
      <w:bookmarkEnd w:id="32"/>
      <w:r>
        <w:rPr/>
        <w:t>Hibrīdmetodes</w:t>
      </w:r>
    </w:p>
    <w:p>
      <w:pPr>
        <w:pStyle w:val="Normal"/>
        <w:rPr/>
      </w:pPr>
      <w:r>
        <w:rPr/>
        <w:t>Ceturtā metožu grupa ir hibrīdmetodes, kas ir vairāku metožu (filtra, ietverto, aptinuma) apvienojums, lai veiktu sarežģītākus mainīgo izvēles aprēķinus. Bakalaura darbā ir izmantota rekursīva mainīgo izslēgšanas metode.</w:t>
      </w:r>
    </w:p>
    <w:p>
      <w:pPr>
        <w:pStyle w:val="Heading3"/>
        <w:numPr>
          <w:ilvl w:val="2"/>
          <w:numId w:val="3"/>
        </w:numPr>
        <w:rPr/>
      </w:pPr>
      <w:bookmarkStart w:id="33" w:name="__RefHeading___Toc1913_3704354823"/>
      <w:bookmarkEnd w:id="33"/>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ietvertajām metodēm,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Bakalaura darbā veiktajā eksperimentā RFE tiek izmantota kopā ar iepriekš aprakstītājām aptinuma, filtra un ietvertajām metodēm, lai noteiktu metožu efektivitāti modeļa veiktspējas saglabāšanai, atmetot liekos mainīgos.</w:t>
      </w:r>
      <w:r>
        <w:br w:type="page"/>
      </w:r>
    </w:p>
    <w:p>
      <w:pPr>
        <w:pStyle w:val="Heading1"/>
        <w:numPr>
          <w:ilvl w:val="0"/>
          <w:numId w:val="4"/>
        </w:numPr>
        <w:rPr/>
      </w:pPr>
      <w:bookmarkStart w:id="34" w:name="__RefHeading___Toc50261_2182101473"/>
      <w:bookmarkEnd w:id="34"/>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r>
        <w:rPr/>
        <w:t xml:space="preserve">Bakalaura darbā ir veikts eksperiments, lai  izvērtētu mainīgo </w:t>
      </w:r>
      <w:r>
        <w:rPr>
          <w:rFonts w:eastAsia="Times New Roman" w:cs="Times New Roman"/>
          <w:color w:val="auto"/>
          <w:kern w:val="0"/>
          <w:sz w:val="24"/>
          <w:szCs w:val="24"/>
          <w:lang w:val="lv-LV" w:eastAsia="en-US" w:bidi="ar-SA"/>
        </w:rPr>
        <w:t>izvēles</w:t>
      </w:r>
      <w:r>
        <w:rPr/>
        <w:t xml:space="preserve"> metožu efektivitāti CART algoritmiem. Iesākumā ir aprakstīts, kādi CART algoritmi ir izmantoti eksperimentā (nodaļā 3.1.).</w:t>
      </w:r>
    </w:p>
    <w:p>
      <w:pPr>
        <w:pStyle w:val="Normal"/>
        <w:ind w:hanging="0"/>
        <w:rPr/>
      </w:pPr>
      <w:r>
        <w:rPr/>
        <w:t xml:space="preserve">Tālāk nodaļā 3.2 tiek raksturota datu kopu izvēles un pirmsapstrādes procedūra. Nodaļās 3.3 un 3.4 tiek raksturoti eksperimenti ar dabiskajiem un sintētiskajiem datiem un to izpildes process. Nodaļā 3.5 veikts </w:t>
      </w:r>
      <w:r>
        <w:rPr>
          <w:rFonts w:eastAsia="Times New Roman" w:cs="Times New Roman"/>
          <w:color w:val="auto"/>
          <w:kern w:val="0"/>
          <w:sz w:val="24"/>
          <w:szCs w:val="24"/>
          <w:lang w:val="lv-LV" w:eastAsia="en-US" w:bidi="ar-SA"/>
        </w:rPr>
        <w:t>mainīgo izvēles</w:t>
      </w:r>
      <w:r>
        <w:rPr/>
        <w:t xml:space="preserve"> metožu efektivitātes novērtējums, balstoties uz eksperimentu datu analīzē iegūtajiem kritērijiem. Nodaļa 3.6 veic padziļinātu dabisko datu eksperimenta analīzi, izvērtējot kāds ir ātrdarbības un veiktspējas guvums vai zaudējums optimālu mainīgo apakškopām.</w:t>
      </w:r>
    </w:p>
    <w:p>
      <w:pPr>
        <w:pStyle w:val="Heading2"/>
        <w:numPr>
          <w:ilvl w:val="1"/>
          <w:numId w:val="4"/>
        </w:numPr>
        <w:rPr/>
      </w:pPr>
      <w:bookmarkStart w:id="35" w:name="__RefHeading___Toc2287_3409115181"/>
      <w:bookmarkEnd w:id="35"/>
      <w:r>
        <w:rPr/>
        <w:t>Eksperimentā izmantotie CART algortimi</w:t>
      </w:r>
    </w:p>
    <w:p>
      <w:pPr>
        <w:pStyle w:val="Normal"/>
        <w:rPr/>
      </w:pPr>
      <w:r>
        <w:rPr/>
        <w:t xml:space="preserve">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 attiecībā uz mainīgo </w:t>
      </w:r>
      <w:r>
        <w:rPr>
          <w:rFonts w:eastAsia="Times New Roman" w:cs="Times New Roman"/>
          <w:color w:val="auto"/>
          <w:kern w:val="0"/>
          <w:sz w:val="24"/>
          <w:szCs w:val="24"/>
          <w:lang w:val="lv-LV" w:eastAsia="en-US" w:bidi="ar-SA"/>
        </w:rPr>
        <w:t xml:space="preserve">izvēles </w:t>
      </w:r>
      <w:r>
        <w:rPr/>
        <w:t>metožu izmantošanu.</w:t>
      </w:r>
    </w:p>
    <w:p>
      <w:pPr>
        <w:pStyle w:val="Heading3"/>
        <w:numPr>
          <w:ilvl w:val="2"/>
          <w:numId w:val="3"/>
        </w:numPr>
        <w:rPr>
          <w:rFonts w:cs="Times New Roman"/>
          <w:iCs/>
          <w:szCs w:val="24"/>
        </w:rPr>
      </w:pPr>
      <w:bookmarkStart w:id="36" w:name="__RefHeading___Toc2289_3409115181"/>
      <w:bookmarkEnd w:id="36"/>
      <w:r>
        <w:rPr/>
        <w:t>Lēmumu koki</w:t>
      </w:r>
    </w:p>
    <w:p>
      <w:pPr>
        <w:pStyle w:val="Normal"/>
        <w:rPr>
          <w:rFonts w:cs="Times New Roman"/>
          <w:iCs/>
          <w:szCs w:val="24"/>
        </w:rPr>
      </w:pPr>
      <w:r>
        <w:rPr>
          <w:rFonts w:cs="Times New Roman"/>
          <w:iCs/>
          <w:szCs w:val="24"/>
        </w:rPr>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3"/>
        </w:numPr>
        <w:rPr/>
      </w:pPr>
      <w:bookmarkStart w:id="37" w:name="__RefHeading___Toc1955_3387015501"/>
      <w:bookmarkEnd w:id="37"/>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9"/>
        </w:numPr>
        <w:rPr/>
      </w:pPr>
      <w:r>
        <w:rPr/>
        <w:t>Lēmumu koku izlasēs apmācot lēmumu kokus izmanto nejauši izvēlētu mācību datu apakškopu nevis pilnu mācību datu kopu</w:t>
      </w:r>
    </w:p>
    <w:p>
      <w:pPr>
        <w:pStyle w:val="Normal"/>
        <w:numPr>
          <w:ilvl w:val="0"/>
          <w:numId w:val="9"/>
        </w:numPr>
        <w:rPr/>
      </w:pPr>
      <w:r>
        <w:rPr/>
        <w:t>Lēmumu koku izlasēs apmācot lēmumu kokus katram šķēlumam izvērtē labākos šķēlumus tikai mainīgo apakškopai nevis visiem mainīgajiem (parasti kvadrātsakne no mainīgo skaita)</w:t>
      </w:r>
    </w:p>
    <w:p>
      <w:pPr>
        <w:pStyle w:val="Normal"/>
        <w:ind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Att 1.1 Lēmumu koku izlašu agregācijas process [pagaidu attēls]</w:t>
      </w:r>
    </w:p>
    <w:p>
      <w:pPr>
        <w:pStyle w:val="Heading3"/>
        <w:numPr>
          <w:ilvl w:val="2"/>
          <w:numId w:val="3"/>
        </w:numPr>
        <w:rPr/>
      </w:pPr>
      <w:bookmarkStart w:id="38" w:name="__RefHeading___Toc8292_3387015501"/>
      <w:bookmarkEnd w:id="38"/>
      <w:r>
        <w:rPr/>
        <w:t>Gradienta stiprinoša lēmumu koku izlase</w:t>
      </w:r>
    </w:p>
    <w:p>
      <w:pPr>
        <w:pStyle w:val="Normal"/>
        <w:rPr/>
      </w:pPr>
      <w:r>
        <w:rPr/>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r>
        <w:br w:type="page"/>
      </w:r>
    </w:p>
    <w:p>
      <w:pPr>
        <w:pStyle w:val="Normal"/>
        <w:rPr/>
      </w:pPr>
      <w:r>
        <w:rPr/>
      </w:r>
    </w:p>
    <w:p>
      <w:pPr>
        <w:pStyle w:val="Normal"/>
        <w:rPr/>
      </w:pPr>
      <w:commentRangeStart w:id="16"/>
      <w:r>
        <w:rPr/>
        <w:tab/>
        <w:t>Vispārīgu GBDT ir iespējams definēt šādi:</w:t>
      </w:r>
    </w:p>
    <w:p>
      <w:pPr>
        <w:pStyle w:val="Normal"/>
        <w:ind w:hanging="0"/>
        <w:rPr/>
      </w:pPr>
      <w:r>
        <w:rPr/>
        <w:t>Ieejas parametri:</w:t>
      </w:r>
    </w:p>
    <w:p>
      <w:pPr>
        <w:pStyle w:val="Normal"/>
        <w:numPr>
          <w:ilvl w:val="0"/>
          <w:numId w:val="10"/>
        </w:numPr>
        <w:rPr/>
      </w:pPr>
      <w:r>
        <w:rPr/>
        <w:t>ieejas dati (x, y)</w:t>
      </w:r>
    </w:p>
    <w:p>
      <w:pPr>
        <w:pStyle w:val="Normal"/>
        <w:numPr>
          <w:ilvl w:val="0"/>
          <w:numId w:val="10"/>
        </w:numPr>
        <w:rPr/>
      </w:pPr>
      <w:r>
        <w:rPr/>
        <w:t>iterāciju skaits M</w:t>
      </w:r>
    </w:p>
    <w:p>
      <w:pPr>
        <w:pStyle w:val="Normal"/>
        <w:numPr>
          <w:ilvl w:val="0"/>
          <w:numId w:val="10"/>
        </w:numPr>
        <w:rPr/>
      </w:pPr>
      <w:r>
        <w:rPr/>
        <w:t>zaudējuma funkcijai phi (y, f)</w:t>
      </w:r>
    </w:p>
    <w:p>
      <w:pPr>
        <w:pStyle w:val="Normal"/>
        <w:numPr>
          <w:ilvl w:val="0"/>
          <w:numId w:val="10"/>
        </w:numPr>
        <w:rPr/>
      </w:pPr>
      <w:r>
        <w:rPr/>
        <w:t>modeļa izvēle h(x, theta)</w:t>
      </w:r>
    </w:p>
    <w:p>
      <w:pPr>
        <w:pStyle w:val="Normal"/>
        <w:ind w:left="2160" w:hanging="0"/>
        <w:rPr/>
      </w:pPr>
      <w:r>
        <w:rPr/>
        <w:t>Algoritms:</w:t>
      </w:r>
    </w:p>
    <w:p>
      <w:pPr>
        <w:pStyle w:val="Normal"/>
        <w:numPr>
          <w:ilvl w:val="0"/>
          <w:numId w:val="11"/>
        </w:numPr>
        <w:rPr/>
      </w:pPr>
      <w:r>
        <w:rPr/>
        <w:t>Inicializē sākuma modeli f sub 0 ar konstanti (vidējā vērtība regresijai, populārākā klase klasifikācijai)</w:t>
      </w:r>
    </w:p>
    <w:p>
      <w:pPr>
        <w:pStyle w:val="Normal"/>
        <w:numPr>
          <w:ilvl w:val="0"/>
          <w:numId w:val="11"/>
        </w:numPr>
        <w:rPr/>
      </w:pPr>
      <w:r>
        <w:rPr/>
        <w:t>līdz sasniegts iterāciju limits M darīt:</w:t>
      </w:r>
    </w:p>
    <w:p>
      <w:pPr>
        <w:pStyle w:val="Normal"/>
        <w:numPr>
          <w:ilvl w:val="1"/>
          <w:numId w:val="11"/>
        </w:numPr>
        <w:rPr/>
      </w:pPr>
      <w:r>
        <w:rPr/>
        <w:t>aprēķina negatīvo gradienta vērtību</w:t>
      </w:r>
    </w:p>
    <w:p>
      <w:pPr>
        <w:pStyle w:val="Normal"/>
        <w:numPr>
          <w:ilvl w:val="1"/>
          <w:numId w:val="11"/>
        </w:numPr>
        <w:rPr/>
      </w:pPr>
      <w:r>
        <w:rPr/>
        <w:t>apmāca jaunu izvēlēto modeli</w:t>
      </w:r>
    </w:p>
    <w:p>
      <w:pPr>
        <w:pStyle w:val="Normal"/>
        <w:numPr>
          <w:ilvl w:val="1"/>
          <w:numId w:val="11"/>
        </w:numPr>
        <w:rPr/>
      </w:pPr>
      <w:r>
        <w:rPr/>
        <w:t xml:space="preserve">atrod labāko gradienta nolaišanas (gradient descent) soļa izmēru </w:t>
      </w:r>
    </w:p>
    <w:p>
      <w:pPr>
        <w:pStyle w:val="Normal"/>
        <w:numPr>
          <w:ilvl w:val="1"/>
          <w:numId w:val="11"/>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commentRangeEnd w:id="16"/>
      <w:r>
        <w:commentReference w:id="16"/>
      </w:r>
      <w:r>
        <w:rPr/>
      </w:r>
    </w:p>
    <w:p>
      <w:pPr>
        <w:pStyle w:val="Heading2"/>
        <w:numPr>
          <w:ilvl w:val="1"/>
          <w:numId w:val="4"/>
        </w:numPr>
        <w:rPr/>
      </w:pPr>
      <w:bookmarkStart w:id="39" w:name="__RefHeading___Toc50263_2182101473"/>
      <w:bookmarkEnd w:id="39"/>
      <w:r>
        <w:rPr/>
        <w:t>Izmantotās datu kopas un to pirmsapstrāde</w:t>
      </w:r>
    </w:p>
    <w:p>
      <w:pPr>
        <w:pStyle w:val="TextBody"/>
        <w:ind w:hanging="0"/>
        <w:rPr>
          <w:highlight w:val="yellow"/>
        </w:rPr>
      </w:pPr>
      <w:commentRangeStart w:id="17"/>
      <w:r>
        <w:rPr>
          <w:highlight w:val="yellow"/>
        </w:rPr>
        <w:tab/>
        <w:t>te vēl prasās par dabiskajiem un sintētiskajiem datiem.</w:t>
      </w:r>
      <w:commentRangeEnd w:id="17"/>
      <w:r>
        <w:commentReference w:id="17"/>
      </w:r>
      <w:r>
        <w:rPr>
          <w:highlight w:val="yellow"/>
        </w:rPr>
      </w:r>
    </w:p>
    <w:p>
      <w:pPr>
        <w:pStyle w:val="TextBody"/>
        <w:ind w:hanging="0"/>
        <w:rPr/>
      </w:pPr>
      <w:r>
        <w:rPr/>
        <w:tab/>
        <w:t xml:space="preserve">Dabisko datu kopas ir izvēlētas pēc 1) augoša instanču </w:t>
      </w:r>
      <w:commentRangeStart w:id="18"/>
      <w:r>
        <w:rPr/>
        <w:t>skaita</w:t>
      </w:r>
      <w:r>
        <w:rPr/>
      </w:r>
      <w:commentRangeEnd w:id="18"/>
      <w:r>
        <w:commentReference w:id="18"/>
      </w:r>
      <w:r>
        <w:rPr/>
        <w:t xml:space="preserve"> 2) augoša mainīgo skaita 3) heterogenitātes maksimizēšanas (nevienādabīgas, dažādas datu kopas, dažādu procesu). Kopumā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ar šādu loģiku:</w:t>
      </w:r>
    </w:p>
    <w:p>
      <w:pPr>
        <w:pStyle w:val="TextBody"/>
        <w:numPr>
          <w:ilvl w:val="0"/>
          <w:numId w:val="12"/>
        </w:numPr>
        <w:rPr/>
      </w:pPr>
      <w:r>
        <w:rPr/>
        <w:t>Visus kategoriskos (categorical) mainīgos kodē ar apzīmējuma kodējumu (label encode)</w:t>
      </w:r>
    </w:p>
    <w:p>
      <w:pPr>
        <w:pStyle w:val="TextBody"/>
        <w:numPr>
          <w:ilvl w:val="0"/>
          <w:numId w:val="12"/>
        </w:numPr>
        <w:rPr/>
      </w:pPr>
      <w:r>
        <w:rPr/>
        <w:t>Nepārtrauktos mainīgos ar trūkstošām vērtībām pārvēršs kategoriskajos mainīgajos ar papildus klasi – trūkstošo vērtību klasiām</w:t>
      </w:r>
    </w:p>
    <w:p>
      <w:pPr>
        <w:pStyle w:val="TextBody"/>
        <w:numPr>
          <w:ilvl w:val="0"/>
          <w:numId w:val="12"/>
        </w:numPr>
        <w:rPr/>
      </w:pPr>
      <w:r>
        <w:rPr/>
        <w:t xml:space="preserve">Nepārtrauktie mainīgie bez trūkstošām vērtībām tiek izmantoti modelī bez </w:t>
      </w:r>
      <w:r>
        <w:rPr>
          <w:rFonts w:eastAsia="Times New Roman" w:cs="Times New Roman"/>
          <w:color w:val="auto"/>
          <w:kern w:val="0"/>
          <w:sz w:val="24"/>
          <w:szCs w:val="24"/>
          <w:lang w:val="lv-LV" w:eastAsia="en-US" w:bidi="ar-SA"/>
        </w:rPr>
        <w:t>izmaiņām</w:t>
      </w:r>
    </w:p>
    <w:p>
      <w:pPr>
        <w:pStyle w:val="TextBody"/>
        <w:numPr>
          <w:ilvl w:val="0"/>
          <w:numId w:val="12"/>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TextBody"/>
        <w:numPr>
          <w:ilvl w:val="0"/>
          <w:numId w:val="0"/>
        </w:numPr>
        <w:ind w:left="1440" w:hanging="0"/>
        <w:rPr>
          <w:rFonts w:eastAsia="Noto Serif CJK SC" w:cs="Lohit Devanagari"/>
          <w:kern w:val="2"/>
          <w:lang w:eastAsia="zh-CN" w:bidi="hi-IN"/>
        </w:rPr>
      </w:pPr>
      <w:r>
        <w:rPr>
          <w:rFonts w:eastAsia="Noto Serif CJK SC" w:cs="Lohit Devanagari"/>
          <w:kern w:val="2"/>
          <w:lang w:eastAsia="zh-CN" w:bidi="hi-IN"/>
        </w:rPr>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https://archive.ics.uci.edu/ml/datasets/mushroom</w:t>
            </w:r>
          </w:p>
        </w:tc>
      </w:tr>
    </w:tbl>
    <w:p>
      <w:pPr>
        <w:pStyle w:val="Heading2"/>
        <w:numPr>
          <w:ilvl w:val="1"/>
          <w:numId w:val="4"/>
        </w:numPr>
        <w:ind w:left="1296" w:right="-1" w:firstLine="720"/>
        <w:rPr/>
      </w:pPr>
      <w:bookmarkStart w:id="40" w:name="__RefHeading___Toc9610_667262781"/>
      <w:bookmarkEnd w:id="40"/>
      <w:r>
        <w:rPr/>
        <w:t xml:space="preserve">Eksperiments ar </w:t>
      </w:r>
      <w:r>
        <w:rPr>
          <w:rFonts w:eastAsia="Times New Roman" w:cs="Arial"/>
          <w:b/>
          <w:bCs/>
          <w:iCs/>
          <w:color w:val="auto"/>
          <w:kern w:val="0"/>
          <w:sz w:val="28"/>
          <w:szCs w:val="28"/>
          <w:lang w:val="lv-LV" w:eastAsia="en-US" w:bidi="ar-SA"/>
        </w:rPr>
        <w:t>dabiskajiem</w:t>
      </w:r>
      <w:r>
        <w:rPr/>
        <w:t xml:space="preserve"> datiem</w:t>
      </w:r>
    </w:p>
    <w:p>
      <w:pPr>
        <w:pStyle w:val="Normal"/>
        <w:ind w:hanging="0"/>
        <w:rPr/>
      </w:pPr>
      <w:r>
        <w:rPr>
          <w:rStyle w:val="InternetLink"/>
          <w:color w:val="000000"/>
          <w:u w:val="none"/>
        </w:rPr>
        <w:tab/>
        <w:t xml:space="preserve">Modeļi tiek apmācīti ar bāzes hiperparametriem (skatīt ietvara Scikitlearn versijas 0.24.0 dokumentāciju priekš detaļām). </w:t>
      </w:r>
      <w:commentRangeStart w:id="19"/>
      <w:r>
        <w:rPr>
          <w:rStyle w:val="InternetLink"/>
          <w:color w:val="000000"/>
          <w:u w:val="none"/>
        </w:rPr>
        <w:t xml:space="preserve">Eksperimentu koda izstrādei tiek izmantota Python programmēšanas valodas interaktīva vide “Jupyter notebook”. Eksperimenta realizācijai ir  izmantots programmēšanas valodas Python modulis Scikitlearn, lai apmācītu modeļus – lēmumu koks, lēmumu koku izlase, un Python implementācija XGBoost modulim – gradienta stiprinoša lēmumu koku izlases modelim. Eksperimenti tika veikti uz AMD Ryzen 3200g procesora un </w:t>
      </w:r>
      <w:r>
        <w:rPr>
          <w:rStyle w:val="InternetLink"/>
          <w:rFonts w:eastAsia="Times New Roman" w:cs="Times New Roman"/>
          <w:color w:val="000000"/>
          <w:kern w:val="0"/>
          <w:sz w:val="24"/>
          <w:szCs w:val="24"/>
          <w:u w:val="none"/>
          <w:lang w:val="lv-LV" w:eastAsia="en-US" w:bidi="ar-SA"/>
        </w:rPr>
        <w:t xml:space="preserve">64 GB </w:t>
      </w:r>
      <w:bookmarkStart w:id="41" w:name="tw-target-text"/>
      <w:bookmarkEnd w:id="41"/>
      <w:r>
        <w:rPr>
          <w:rStyle w:val="InternetLink"/>
          <w:rFonts w:eastAsia="Times New Roman" w:cs="Times New Roman"/>
          <w:color w:val="000000"/>
          <w:kern w:val="0"/>
          <w:sz w:val="24"/>
          <w:szCs w:val="24"/>
          <w:u w:val="none"/>
          <w:lang w:val="lv-LV" w:eastAsia="en-US" w:bidi="ar-SA"/>
        </w:rPr>
        <w:t>brīvpiekļuves atmiņas (RAM)</w:t>
      </w:r>
      <w:r>
        <w:rPr>
          <w:rStyle w:val="InternetLink"/>
          <w:rFonts w:eastAsia="Times New Roman" w:cs="Times New Roman"/>
          <w:color w:val="000000"/>
          <w:kern w:val="0"/>
          <w:sz w:val="24"/>
          <w:szCs w:val="24"/>
          <w:u w:val="none"/>
          <w:lang w:val="lv-LV" w:eastAsia="en-US" w:bidi="ar-SA"/>
        </w:rPr>
      </w:r>
      <w:commentRangeEnd w:id="19"/>
      <w:r>
        <w:commentReference w:id="19"/>
      </w:r>
      <w:r>
        <w:rPr>
          <w:rStyle w:val="InternetLink"/>
          <w:color w:val="000000"/>
          <w:u w:val="none"/>
        </w:rPr>
        <w:t xml:space="preserve">. Eksperimenti aizņēma ~80 stundas. Eksperimentā datu kopas tiek nejauši sadalītas apmācības (70%) un testa datos (30%). Regresijas datu kopas tiek vienkārši nejauši sadalīti,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3"/>
        </w:numPr>
        <w:rPr/>
      </w:pPr>
      <w:r>
        <w:rPr>
          <w:rStyle w:val="InternetLink"/>
          <w:color w:val="000000"/>
          <w:u w:val="none"/>
        </w:rPr>
        <w:t xml:space="preserve">Apmācīts bāzes modelis (modelis ar visiem mainīgajiem) izlases veidā (random seed) 100 reizes ar visiem mainīgajiem, veidojot bāzes precizitāti. </w:t>
      </w:r>
    </w:p>
    <w:p>
      <w:pPr>
        <w:pStyle w:val="Normal"/>
        <w:numPr>
          <w:ilvl w:val="0"/>
          <w:numId w:val="13"/>
        </w:numPr>
        <w:rPr/>
      </w:pPr>
      <w:r>
        <w:rPr>
          <w:rStyle w:val="InternetLink"/>
          <w:color w:val="000000"/>
          <w:u w:val="none"/>
        </w:rPr>
        <w:t xml:space="preserve">Sarēķināts mainīgo svarīgums izmantojot konkrētu mainīgo </w:t>
      </w:r>
      <w:r>
        <w:rPr>
          <w:rStyle w:val="InternetLink"/>
          <w:rFonts w:eastAsia="Times New Roman" w:cs="Times New Roman"/>
          <w:color w:val="000000"/>
          <w:kern w:val="0"/>
          <w:sz w:val="24"/>
          <w:szCs w:val="24"/>
          <w:u w:val="none"/>
          <w:lang w:val="lv-LV" w:eastAsia="en-US" w:bidi="ar-SA"/>
        </w:rPr>
        <w:t>izvēles</w:t>
      </w:r>
      <w:r>
        <w:rPr>
          <w:rStyle w:val="InternetLink"/>
          <w:color w:val="000000"/>
          <w:u w:val="none"/>
        </w:rPr>
        <w:t xml:space="preserve"> metodi un apmācības datus. Mainīgie tiek saranžēti pēc svarīguma.</w:t>
      </w:r>
    </w:p>
    <w:p>
      <w:pPr>
        <w:pStyle w:val="Normal"/>
        <w:numPr>
          <w:ilvl w:val="0"/>
          <w:numId w:val="13"/>
        </w:numPr>
        <w:rPr/>
      </w:pPr>
      <w:r>
        <w:rPr>
          <w:rStyle w:val="InternetLink"/>
          <w:color w:val="000000"/>
          <w:u w:val="none"/>
        </w:rPr>
        <w:t>No mainīgo svarīguma aprēķina izvēlēts mainīgais ar vismazāko svarīgumu</w:t>
      </w:r>
    </w:p>
    <w:p>
      <w:pPr>
        <w:pStyle w:val="Normal"/>
        <w:numPr>
          <w:ilvl w:val="0"/>
          <w:numId w:val="13"/>
        </w:numPr>
        <w:rPr/>
      </w:pPr>
      <w:r>
        <w:rPr>
          <w:rStyle w:val="InternetLink"/>
          <w:color w:val="000000"/>
          <w:u w:val="none"/>
        </w:rPr>
        <w:t>Visnesvarīgakais mainīgais tiek izņemts no apmācības un testa datu kopas</w:t>
      </w:r>
    </w:p>
    <w:p>
      <w:pPr>
        <w:pStyle w:val="Normal"/>
        <w:numPr>
          <w:ilvl w:val="0"/>
          <w:numId w:val="13"/>
        </w:numPr>
        <w:rPr/>
      </w:pPr>
      <w:r>
        <w:rPr>
          <w:rStyle w:val="InternetLink"/>
          <w:color w:val="000000"/>
          <w:u w:val="none"/>
        </w:rPr>
        <w:t>Modelis tiek pārmācīts izlases veidā (random seed) N reizes bez visnesvarīgākā mainīgā</w:t>
      </w:r>
    </w:p>
    <w:p>
      <w:pPr>
        <w:pStyle w:val="Normal"/>
        <w:numPr>
          <w:ilvl w:val="0"/>
          <w:numId w:val="13"/>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3.1: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(3.1)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 xml:space="preserve">Matteja korelācijas koeficients izvēlēts kā klasifikācijas modeļu precizitātes mērs, jo tas spēj labi attēlot nebalansētu klasifikācijas uzdevumu modelēšanas precizitāti. Dziļāku izskaidrojumu ir iespējams atrast </w:t>
      </w:r>
      <w:r>
        <w:rPr>
          <w:rStyle w:val="InternetLink"/>
          <w:color w:val="000000"/>
          <w:sz w:val="24"/>
          <w:szCs w:val="24"/>
          <w:u w:val="none"/>
        </w:rPr>
        <w:t>(</w:t>
      </w:r>
      <w:r>
        <w:rPr>
          <w:rStyle w:val="Quotation"/>
          <w:i w:val="false"/>
          <w:iCs w:val="false"/>
          <w:color w:val="000000"/>
          <w:sz w:val="24"/>
          <w:szCs w:val="24"/>
        </w:rPr>
        <w:t>Boughorbel</w:t>
      </w:r>
      <w:r>
        <w:rPr>
          <w:rStyle w:val="InternetLink"/>
          <w:color w:val="000000"/>
          <w:sz w:val="24"/>
          <w:szCs w:val="24"/>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Kā redzams attēlā 1.2 nometot pirmo visnelietderīgāko mainīgo, modeļa vidējā kvadrātiskā kļūda pat uzlabojas. Var secināt, ka mainīgais bija neinformatīvs. No 0 iterācijas līdz 9. iterācijai modeļa kļūdas pieaugums ir salīdzinoši lēzens. Savukārt, no 10. iterācijas modeļa kļūdas pieaugums ir straujš. No tā var secināt, ka mainīgi, kas tika nomesti sākot no 10 iterācijas, bija svarīgi modelī.</w:t>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8">
            <wp:simplePos x="0" y="0"/>
            <wp:positionH relativeFrom="column">
              <wp:posOffset>0</wp:posOffset>
            </wp:positionH>
            <wp:positionV relativeFrom="paragraph">
              <wp:posOffset>313690</wp:posOffset>
            </wp:positionV>
            <wp:extent cx="5760085" cy="212661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rStyle w:val="InternetLink"/>
          <w:color w:val="000000"/>
          <w:u w:val="none"/>
        </w:rPr>
        <w:tab/>
      </w:r>
      <w:r>
        <w:rPr>
          <w:rStyle w:val="InternetLink"/>
          <w:color w:val="000000"/>
          <w:u w:val="none"/>
        </w:rPr>
        <w:tab/>
        <w:tab/>
        <w:t>Attēls 1.3 Normalizētas precizitātes koeficients (“predictive_power”)</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 xml:space="preserve">Kolona “iteration” pārāda cik mainīgi ir </w:t>
      </w:r>
      <w:r>
        <w:rPr>
          <w:rStyle w:val="InternetLink"/>
          <w:rFonts w:eastAsia="Times New Roman" w:cs="Times New Roman"/>
          <w:color w:val="000000"/>
          <w:kern w:val="0"/>
          <w:sz w:val="24"/>
          <w:szCs w:val="24"/>
          <w:u w:val="none"/>
          <w:lang w:val="lv-LV" w:eastAsia="en-US" w:bidi="ar-SA"/>
        </w:rPr>
        <w:t>modelī (</w:t>
      </w:r>
      <w:r>
        <w:rPr>
          <w:rStyle w:val="InternetLink"/>
          <w:color w:val="000000"/>
          <w:u w:val="none"/>
        </w:rPr>
        <w:t xml:space="preserve">0. iterācijā </w:t>
      </w:r>
      <w:r>
        <w:rPr>
          <w:rStyle w:val="InternetLink"/>
          <w:rFonts w:eastAsia="Times New Roman" w:cs="Times New Roman"/>
          <w:color w:val="000000"/>
          <w:kern w:val="0"/>
          <w:sz w:val="24"/>
          <w:szCs w:val="24"/>
          <w:u w:val="none"/>
          <w:lang w:val="lv-LV" w:eastAsia="en-US" w:bidi="ar-SA"/>
        </w:rPr>
        <w:t>visi</w:t>
      </w:r>
      <w:r>
        <w:rPr>
          <w:rStyle w:val="InternetLink"/>
          <w:color w:val="000000"/>
          <w:u w:val="none"/>
        </w:rPr>
        <w:t xml:space="preserve"> </w:t>
      </w:r>
      <w:r>
        <w:rPr>
          <w:rStyle w:val="InternetLink"/>
          <w:rFonts w:eastAsia="Times New Roman" w:cs="Times New Roman"/>
          <w:color w:val="000000"/>
          <w:kern w:val="0"/>
          <w:sz w:val="24"/>
          <w:szCs w:val="24"/>
          <w:u w:val="none"/>
          <w:lang w:val="lv-LV" w:eastAsia="en-US" w:bidi="ar-SA"/>
        </w:rPr>
        <w:t>mainīgie,</w:t>
      </w:r>
      <w:r>
        <w:rPr>
          <w:rStyle w:val="InternetLink"/>
          <w:color w:val="000000"/>
          <w:u w:val="none"/>
        </w:rPr>
        <w:t xml:space="preserve"> 12. iterācijā viens mainīgais) iterāciju skaits atkarīgs no datu kopas mainīgo skaita. Kolona “feat_name” raksturo kurš mainīgais tiks nomest nākamajā iterācijā. Kolonas “mse_train” un “mse_test” raksturo apmācības un testa datu kopu vidējo kvadrātisko kļūdu. Kolona “predictive_power” raksturo esošā modeļa precizitātes koeficientu salīdzinot ar sākotnējo modeli. Kolona “imp_type” raksturo kāda mainīgo izvēles metode tiek izmantota. Kolona “dataset” raksturo kāda datu kopa ir izmantota. Kolonas “model_seed”, “data_split_seed” kontrolē modeļa apmācības un datu sadalīšanas stohastiskos procesus.</w:t>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71490" cy="29514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6"/>
                    <a:stretch>
                      <a:fillRect/>
                    </a:stretch>
                  </pic:blipFill>
                  <pic:spPr bwMode="auto">
                    <a:xfrm>
                      <a:off x="0" y="0"/>
                      <a:ext cx="5571490" cy="2951480"/>
                    </a:xfrm>
                    <a:prstGeom prst="rect">
                      <a:avLst/>
                    </a:prstGeom>
                  </pic:spPr>
                </pic:pic>
              </a:graphicData>
            </a:graphic>
          </wp:anchor>
        </w:drawing>
      </w:r>
      <w:r>
        <w:rPr/>
        <w:tab/>
      </w:r>
      <w:r>
        <w:rPr/>
        <w:tab/>
        <w:tab/>
        <w:tab/>
        <w:tab/>
        <w:tab/>
        <w:tab/>
        <w:t>Attēls 1.4 Modeļa veiktspējas degradācija</w:t>
      </w:r>
    </w:p>
    <w:p>
      <w:pPr>
        <w:pStyle w:val="Normal"/>
        <w:ind w:hanging="0"/>
        <w:rPr/>
      </w:pPr>
      <w:r>
        <w:rPr/>
      </w:r>
    </w:p>
    <w:p>
      <w:pPr>
        <w:pStyle w:val="Normal"/>
        <w:ind w:hanging="0"/>
        <w:rPr/>
      </w:pPr>
      <w:r>
        <w:rPr/>
        <w:tab/>
        <w:t>Normalizētas precizitātes koeficients “predictive_power” ļauj arī daudz intuitīvāk vizualizēt modeļa precizitātes zaudējuma progresu ( Attēls 1.4. ). Lai veiktu modeļu novērtējumu eksperimentos ar dabiskiem datiem, ir izvirzīti 3 kritēriji.</w:t>
      </w:r>
    </w:p>
    <w:p>
      <w:pPr>
        <w:pStyle w:val="Normal"/>
        <w:numPr>
          <w:ilvl w:val="0"/>
          <w:numId w:val="14"/>
        </w:numPr>
        <w:rPr/>
      </w:pPr>
      <w:r>
        <w:rPr/>
        <w:t>Pirmais kritērijs “modeļa uzlabojums”. Tas raksturo vai ir iespējams atrast mainīgo apakškopu, kas uzlabo modeļa darbību.</w:t>
      </w:r>
    </w:p>
    <w:p>
      <w:pPr>
        <w:pStyle w:val="Normal"/>
        <w:numPr>
          <w:ilvl w:val="0"/>
          <w:numId w:val="14"/>
        </w:numPr>
        <w:rPr/>
      </w:pPr>
      <w:r>
        <w:rPr/>
        <w:t>Otrais kritērijs “lieko mainīgo nomešana”. Tas procentuāli nosaka, cik mainīgos ir iespējams atmest bez precizitātes zaudējuma.</w:t>
      </w:r>
    </w:p>
    <w:p>
      <w:pPr>
        <w:pStyle w:val="Normal"/>
        <w:numPr>
          <w:ilvl w:val="0"/>
          <w:numId w:val="14"/>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(feature engineering),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vadītājs var būt vairāk ieinteresēts, kādi faktori veido veiksmīgu mārketinga kampaņu, nevis cik liela būs konkrētas kampaņas naudiskā atdeve. Lai izveidotu izskaidrojamākus modeļus trešajā kritērijā ir izmantots Pareto princips, pieņemot, ka 20% no mainīgajiem nodrošina 80% modeļa veiktspēju.</w:t>
      </w:r>
    </w:p>
    <w:p>
      <w:pPr>
        <w:pStyle w:val="Normal"/>
        <w:ind w:hanging="0"/>
        <w:rPr/>
      </w:pPr>
      <w:r>
        <w:rPr>
          <w:rFonts w:eastAsia="Times New Roman" w:cs="Times New Roman"/>
          <w:color w:val="auto"/>
          <w:kern w:val="0"/>
          <w:sz w:val="24"/>
          <w:szCs w:val="24"/>
          <w:lang w:val="lv-LV" w:eastAsia="en-US" w:bidi="ar-SA"/>
        </w:rPr>
        <w:tab/>
      </w:r>
      <w:commentRangeStart w:id="20"/>
      <w:r>
        <w:rPr>
          <w:rFonts w:eastAsia="Times New Roman" w:cs="Times New Roman"/>
          <w:color w:val="auto"/>
          <w:kern w:val="0"/>
          <w:sz w:val="24"/>
          <w:szCs w:val="24"/>
          <w:lang w:val="lv-LV" w:eastAsia="en-US" w:bidi="ar-SA"/>
        </w:rPr>
        <w:t>Dabisko datu eksperimenta rezultāti tiek izmantot lēmumu koka izlases (RandomForestClassifier/Regressor) rezultātus. Lēmumu koku izlases tiek izmantotas, lai izvērtētu kritērijus, jo, pirmkārt, nodrošina augstu datu regularizāciju (lēmuma koka līmenī izvēloties nejaušu mainīgo un datu apakškopas), otrkārt, lēmumu koku izlases pārāk stipri nepielāgosies datiem (overfitting) nodrošina, ka mainīgo apakškopa saglabās veiktspēju, neatkarīgi no modeļa hiperparametriem</w:t>
      </w:r>
      <w:r>
        <w:rPr>
          <w:rFonts w:eastAsia="Times New Roman" w:cs="Times New Roman"/>
          <w:color w:val="auto"/>
          <w:kern w:val="0"/>
          <w:sz w:val="24"/>
          <w:szCs w:val="24"/>
          <w:lang w:val="lv-LV" w:eastAsia="en-US" w:bidi="ar-SA"/>
        </w:rPr>
      </w:r>
      <w:commentRangeEnd w:id="20"/>
      <w:r>
        <w:commentReference w:id="20"/>
      </w:r>
      <w:r>
        <w:rPr>
          <w:rFonts w:eastAsia="Times New Roman" w:cs="Times New Roman"/>
          <w:color w:val="auto"/>
          <w:kern w:val="0"/>
          <w:sz w:val="24"/>
          <w:szCs w:val="24"/>
          <w:lang w:val="lv-LV" w:eastAsia="en-US" w:bidi="ar-SA"/>
        </w:rPr>
        <w:t>.</w:t>
      </w:r>
    </w:p>
    <w:p>
      <w:pPr>
        <w:pStyle w:val="Normal"/>
        <w:ind w:hanging="0"/>
        <w:rPr/>
      </w:pPr>
      <w:r>
        <w:rPr/>
        <w:t>Dabisko datu eksperimenta rezultāti redzami tabulā 1.1. Rezultātos attēlota vidējā vērtība no mainīgā svarīguma metodes rezultātiem lēmumu koku izlases modelī un 95% pārliecības intervāla vērtības visām datu kopām.</w:t>
      </w:r>
    </w:p>
    <w:p>
      <w:pPr>
        <w:pStyle w:val="Normal"/>
        <w:ind w:hanging="0"/>
        <w:rPr/>
      </w:pPr>
      <w:r>
        <w:rPr/>
      </w:r>
      <w:r>
        <w:br w:type="page"/>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8"/>
        <w:gridCol w:w="3092"/>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8" w:type="dxa"/>
            <w:tcBorders/>
            <w:vAlign w:val="bottom"/>
          </w:tcPr>
          <w:p>
            <w:pPr>
              <w:pStyle w:val="Normal"/>
              <w:ind w:hanging="0"/>
              <w:jc w:val="center"/>
              <w:rPr>
                <w:sz w:val="20"/>
                <w:szCs w:val="20"/>
              </w:rPr>
            </w:pPr>
            <w:r>
              <w:rPr>
                <w:sz w:val="20"/>
                <w:szCs w:val="20"/>
              </w:rPr>
              <w:t>modeļa uzlabojums</w:t>
            </w:r>
          </w:p>
        </w:tc>
        <w:tc>
          <w:tcPr>
            <w:tcW w:w="3092"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8" w:type="dxa"/>
            <w:tcBorders/>
            <w:vAlign w:val="bottom"/>
          </w:tcPr>
          <w:p>
            <w:pPr>
              <w:pStyle w:val="Normal"/>
              <w:jc w:val="center"/>
              <w:rPr>
                <w:sz w:val="20"/>
                <w:szCs w:val="20"/>
              </w:rPr>
            </w:pPr>
            <w:r>
              <w:rPr>
                <w:sz w:val="20"/>
                <w:szCs w:val="20"/>
              </w:rPr>
              <w:t>1.31 ± 0.14</w:t>
            </w:r>
          </w:p>
        </w:tc>
        <w:tc>
          <w:tcPr>
            <w:tcW w:w="3092"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8" w:type="dxa"/>
            <w:tcBorders/>
            <w:vAlign w:val="bottom"/>
          </w:tcPr>
          <w:p>
            <w:pPr>
              <w:pStyle w:val="Normal"/>
              <w:jc w:val="center"/>
              <w:rPr>
                <w:sz w:val="20"/>
                <w:szCs w:val="20"/>
              </w:rPr>
            </w:pPr>
            <w:r>
              <w:rPr>
                <w:b/>
                <w:sz w:val="20"/>
                <w:szCs w:val="20"/>
              </w:rPr>
              <w:t>1.73 ± 0.16</w:t>
            </w:r>
          </w:p>
        </w:tc>
        <w:tc>
          <w:tcPr>
            <w:tcW w:w="3092"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sz w:val="20"/>
                <w:szCs w:val="20"/>
              </w:rPr>
            </w:pPr>
            <w:r>
              <w:rPr>
                <w:sz w:val="20"/>
                <w:szCs w:val="20"/>
              </w:rPr>
              <w:t>Determinācijas koeficients un ANOVA</w:t>
            </w:r>
          </w:p>
        </w:tc>
        <w:tc>
          <w:tcPr>
            <w:tcW w:w="2488" w:type="dxa"/>
            <w:tcBorders/>
            <w:vAlign w:val="bottom"/>
          </w:tcPr>
          <w:p>
            <w:pPr>
              <w:pStyle w:val="Normal"/>
              <w:jc w:val="center"/>
              <w:rPr>
                <w:sz w:val="20"/>
                <w:szCs w:val="20"/>
              </w:rPr>
            </w:pPr>
            <w:r>
              <w:rPr>
                <w:sz w:val="20"/>
                <w:szCs w:val="20"/>
              </w:rPr>
              <w:t>1.38 ± 0.2</w:t>
            </w:r>
          </w:p>
        </w:tc>
        <w:tc>
          <w:tcPr>
            <w:tcW w:w="3092"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8" w:type="dxa"/>
            <w:tcBorders/>
            <w:vAlign w:val="bottom"/>
          </w:tcPr>
          <w:p>
            <w:pPr>
              <w:pStyle w:val="Normal"/>
              <w:jc w:val="center"/>
              <w:rPr>
                <w:sz w:val="20"/>
                <w:szCs w:val="20"/>
              </w:rPr>
            </w:pPr>
            <w:r>
              <w:rPr>
                <w:sz w:val="20"/>
                <w:szCs w:val="20"/>
              </w:rPr>
              <w:t>1.36 ± 0.15</w:t>
            </w:r>
          </w:p>
        </w:tc>
        <w:tc>
          <w:tcPr>
            <w:tcW w:w="3092"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8" w:type="dxa"/>
            <w:tcBorders/>
            <w:vAlign w:val="bottom"/>
          </w:tcPr>
          <w:p>
            <w:pPr>
              <w:pStyle w:val="Normal"/>
              <w:jc w:val="center"/>
              <w:rPr>
                <w:sz w:val="20"/>
                <w:szCs w:val="20"/>
              </w:rPr>
            </w:pPr>
            <w:r>
              <w:rPr>
                <w:sz w:val="20"/>
                <w:szCs w:val="20"/>
              </w:rPr>
              <w:t>1.09 ± 0.24</w:t>
            </w:r>
          </w:p>
        </w:tc>
        <w:tc>
          <w:tcPr>
            <w:tcW w:w="3092"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8" w:type="dxa"/>
            <w:tcBorders/>
            <w:vAlign w:val="bottom"/>
          </w:tcPr>
          <w:p>
            <w:pPr>
              <w:pStyle w:val="Normal"/>
              <w:jc w:val="center"/>
              <w:rPr>
                <w:sz w:val="20"/>
                <w:szCs w:val="20"/>
              </w:rPr>
            </w:pPr>
            <w:r>
              <w:rPr>
                <w:sz w:val="20"/>
                <w:szCs w:val="20"/>
              </w:rPr>
              <w:t>1.36 ± 0.19</w:t>
            </w:r>
          </w:p>
        </w:tc>
        <w:tc>
          <w:tcPr>
            <w:tcW w:w="3092"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8" w:type="dxa"/>
            <w:tcBorders/>
            <w:vAlign w:val="bottom"/>
          </w:tcPr>
          <w:p>
            <w:pPr>
              <w:pStyle w:val="Normal"/>
              <w:jc w:val="center"/>
              <w:rPr>
                <w:sz w:val="20"/>
                <w:szCs w:val="20"/>
              </w:rPr>
            </w:pPr>
            <w:r>
              <w:rPr>
                <w:sz w:val="20"/>
                <w:szCs w:val="20"/>
              </w:rPr>
              <w:t>1.41 ± 0.18</w:t>
            </w:r>
          </w:p>
        </w:tc>
        <w:tc>
          <w:tcPr>
            <w:tcW w:w="3092"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8" w:type="dxa"/>
            <w:tcBorders/>
            <w:vAlign w:val="bottom"/>
          </w:tcPr>
          <w:p>
            <w:pPr>
              <w:pStyle w:val="Normal"/>
              <w:jc w:val="center"/>
              <w:rPr>
                <w:sz w:val="20"/>
                <w:szCs w:val="20"/>
              </w:rPr>
            </w:pPr>
            <w:r>
              <w:rPr>
                <w:sz w:val="20"/>
                <w:szCs w:val="20"/>
              </w:rPr>
              <w:t>1.32 ± 0.17</w:t>
            </w:r>
          </w:p>
        </w:tc>
        <w:tc>
          <w:tcPr>
            <w:tcW w:w="3092"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8" w:type="dxa"/>
            <w:tcBorders/>
            <w:vAlign w:val="bottom"/>
          </w:tcPr>
          <w:p>
            <w:pPr>
              <w:pStyle w:val="Normal"/>
              <w:jc w:val="center"/>
              <w:rPr>
                <w:sz w:val="20"/>
                <w:szCs w:val="20"/>
              </w:rPr>
            </w:pPr>
            <w:r>
              <w:rPr>
                <w:sz w:val="20"/>
                <w:szCs w:val="20"/>
              </w:rPr>
              <w:t>-0.68 ± 0.47</w:t>
            </w:r>
          </w:p>
        </w:tc>
        <w:tc>
          <w:tcPr>
            <w:tcW w:w="3092"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commentReference w:id="21"/>
      </w:r>
      <w:r>
        <w:br w:type="page"/>
      </w:r>
    </w:p>
    <w:p>
      <w:pPr>
        <w:pStyle w:val="Heading2"/>
        <w:numPr>
          <w:ilvl w:val="1"/>
          <w:numId w:val="4"/>
        </w:numPr>
        <w:rPr/>
      </w:pPr>
      <w:bookmarkStart w:id="42" w:name="__RefHeading___Toc1807_2551015736"/>
      <w:bookmarkEnd w:id="42"/>
      <w:r>
        <w:rPr/>
        <w:t>Eksperiments ar sintētiskiem datiem</w:t>
      </w:r>
    </w:p>
    <w:p>
      <w:pPr>
        <w:pStyle w:val="Normal"/>
        <w:rPr>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eksperimentā, bet dabisko datu vietā ar ietvaru Scikitlearn tiek izveidotas mākslīgas (sintētiskas) regresijas un klasifikācijas datu kopas. Datu kopas tiek saģenerētas pēc instanču un mainīgo skaita (skatīt tabulu 1.1). </w:t>
      </w:r>
      <w:r>
        <w:rPr>
          <w:rFonts w:eastAsia="Times New Roman" w:cs="Times New Roman"/>
          <w:color w:val="auto"/>
          <w:kern w:val="0"/>
          <w:sz w:val="24"/>
          <w:szCs w:val="24"/>
          <w:lang w:val="lv-LV" w:eastAsia="en-US" w:bidi="ar-SA"/>
        </w:rPr>
        <w:t>Datu kopām</w:t>
      </w:r>
      <w:r>
        <w:rPr/>
        <w:t xml:space="preserve"> tiek piešķirti vārdi “0”, “1”, “2” utt. Sintētisko datu kopām vienmēr pirmie 20% ar mainīgajiem ir informatīvi, atlikušie 80% neinformatīvi, piemēram datu kopā ar 10 mainīgajiem tikai mainīgie “0” un “1” būs informativi, pārējie 8 būs lieki.</w:t>
      </w:r>
    </w:p>
    <w:p>
      <w:pPr>
        <w:pStyle w:val="Normal"/>
        <w:rPr/>
      </w:pPr>
      <w:r>
        <w:rPr/>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kuru pārkāpjot mainīgo izvēles metodes izpilde tiek apturēta pāriets pie nākamās.</w:t>
      </w:r>
    </w:p>
    <w:p>
      <w:pPr>
        <w:pStyle w:val="Normal"/>
        <w:rPr/>
      </w:pPr>
      <w:r>
        <w:rPr/>
        <w:t xml:space="preserve"> </w:t>
      </w:r>
      <w:r>
        <w:rPr>
          <w:rStyle w:val="InternetLink"/>
          <w:color w:val="000000"/>
          <w:u w:val="none"/>
        </w:rPr>
        <w:t xml:space="preserve">Eksperimentu koda izstrādei tiek izmantota Python programmēšanas valodas  interaktīva vide “Jupyter notebook”. Eksperimenta realizācijai ir  izmantots programmēšanas valodas Python modulis Scikitlearn. Eksperimenti tika veikti uz AMD Ryzen 3200g procesora un </w:t>
      </w:r>
      <w:r>
        <w:rPr>
          <w:rStyle w:val="InternetLink"/>
          <w:rFonts w:eastAsia="Times New Roman" w:cs="Times New Roman"/>
          <w:color w:val="000000"/>
          <w:kern w:val="0"/>
          <w:sz w:val="24"/>
          <w:szCs w:val="24"/>
          <w:u w:val="none"/>
          <w:lang w:val="lv-LV" w:eastAsia="en-US" w:bidi="ar-SA"/>
        </w:rPr>
        <w:t xml:space="preserve">64 GB </w:t>
      </w:r>
      <w:bookmarkStart w:id="43" w:name="tw-target-text3"/>
      <w:bookmarkEnd w:id="43"/>
      <w:r>
        <w:rPr>
          <w:rStyle w:val="InternetLink"/>
          <w:rFonts w:eastAsia="Times New Roman" w:cs="Times New Roman"/>
          <w:color w:val="000000"/>
          <w:kern w:val="0"/>
          <w:sz w:val="24"/>
          <w:szCs w:val="24"/>
          <w:u w:val="none"/>
          <w:lang w:val="lv-LV" w:eastAsia="en-US" w:bidi="ar-SA"/>
        </w:rPr>
        <w:t>brīvpiekļuves atmiņas (RAM).</w:t>
      </w:r>
      <w:r>
        <w:br w:type="page"/>
      </w:r>
    </w:p>
    <w:p>
      <w:pPr>
        <w:pStyle w:val="Normal"/>
        <w:rPr>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mc:AlternateContent>
          <mc:Choice Requires="wps">
            <w:drawing>
              <wp:anchor behindDoc="0" distT="0" distB="0" distL="0" distR="0" simplePos="0" locked="0" layoutInCell="1" allowOverlap="1" relativeHeight="10">
                <wp:simplePos x="0" y="0"/>
                <wp:positionH relativeFrom="column">
                  <wp:posOffset>9525</wp:posOffset>
                </wp:positionH>
                <wp:positionV relativeFrom="paragraph">
                  <wp:posOffset>50800</wp:posOffset>
                </wp:positionV>
                <wp:extent cx="5765165" cy="2273935"/>
                <wp:effectExtent l="0" t="0" r="0" b="0"/>
                <wp:wrapSquare wrapText="largest"/>
                <wp:docPr id="10" name="Frame2"/>
                <a:graphic xmlns:a="http://schemas.openxmlformats.org/drawingml/2006/main">
                  <a:graphicData uri="http://schemas.microsoft.com/office/word/2010/wordprocessingShape">
                    <wps:wsp>
                      <wps:cNvSpPr/>
                      <wps:spPr>
                        <a:xfrm>
                          <a:off x="0" y="0"/>
                          <a:ext cx="5764680" cy="227340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85pt;height:178.9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1">
                <wp:simplePos x="0" y="0"/>
                <wp:positionH relativeFrom="column">
                  <wp:posOffset>-434975</wp:posOffset>
                </wp:positionH>
                <wp:positionV relativeFrom="paragraph">
                  <wp:posOffset>158115</wp:posOffset>
                </wp:positionV>
                <wp:extent cx="6200140" cy="3099435"/>
                <wp:effectExtent l="0" t="0" r="0" b="0"/>
                <wp:wrapSquare wrapText="largest"/>
                <wp:docPr id="14" name="Frame3"/>
                <a:graphic xmlns:a="http://schemas.openxmlformats.org/drawingml/2006/main">
                  <a:graphicData uri="http://schemas.microsoft.com/office/word/2010/wordprocessingShape">
                    <wps:wsp>
                      <wps:cNvSpPr/>
                      <wps:spPr>
                        <a:xfrm>
                          <a:off x="0" y="0"/>
                          <a:ext cx="6199560" cy="309888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34.25pt;margin-top:12.45pt;width:488.1pt;height:243.95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4"/>
        <w:gridCol w:w="1962"/>
        <w:gridCol w:w="4066"/>
      </w:tblGrid>
      <w:tr>
        <w:trPr>
          <w:trHeight w:val="701" w:hRule="atLeast"/>
        </w:trPr>
        <w:tc>
          <w:tcPr>
            <w:tcW w:w="3064"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6"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4"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6" w:type="dxa"/>
            <w:tcBorders/>
            <w:vAlign w:val="bottom"/>
          </w:tcPr>
          <w:p>
            <w:pPr>
              <w:pStyle w:val="Normal"/>
              <w:tabs>
                <w:tab w:val="clear" w:pos="720"/>
              </w:tabs>
              <w:jc w:val="center"/>
              <w:rPr/>
            </w:pPr>
            <w:r>
              <w:rPr/>
              <w:t>1</w:t>
            </w:r>
          </w:p>
        </w:tc>
      </w:tr>
      <w:tr>
        <w:trPr>
          <w:trHeight w:val="256" w:hRule="atLeast"/>
        </w:trPr>
        <w:tc>
          <w:tcPr>
            <w:tcW w:w="3064"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6" w:type="dxa"/>
            <w:tcBorders/>
            <w:vAlign w:val="bottom"/>
          </w:tcPr>
          <w:p>
            <w:pPr>
              <w:pStyle w:val="Normal"/>
              <w:tabs>
                <w:tab w:val="clear" w:pos="720"/>
              </w:tabs>
              <w:jc w:val="center"/>
              <w:rPr/>
            </w:pPr>
            <w:r>
              <w:rPr/>
              <w:t>2</w:t>
            </w:r>
          </w:p>
        </w:tc>
      </w:tr>
      <w:tr>
        <w:trPr>
          <w:trHeight w:val="256" w:hRule="atLeast"/>
        </w:trPr>
        <w:tc>
          <w:tcPr>
            <w:tcW w:w="3064"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6" w:type="dxa"/>
            <w:tcBorders/>
            <w:vAlign w:val="bottom"/>
          </w:tcPr>
          <w:p>
            <w:pPr>
              <w:pStyle w:val="Normal"/>
              <w:tabs>
                <w:tab w:val="clear" w:pos="720"/>
              </w:tabs>
              <w:jc w:val="center"/>
              <w:rPr/>
            </w:pPr>
            <w:r>
              <w:rPr/>
              <w:t>3</w:t>
            </w:r>
          </w:p>
        </w:tc>
      </w:tr>
      <w:tr>
        <w:trPr>
          <w:trHeight w:val="256" w:hRule="atLeast"/>
        </w:trPr>
        <w:tc>
          <w:tcPr>
            <w:tcW w:w="3064"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6" w:type="dxa"/>
            <w:tcBorders/>
            <w:vAlign w:val="bottom"/>
          </w:tcPr>
          <w:p>
            <w:pPr>
              <w:pStyle w:val="Normal"/>
              <w:tabs>
                <w:tab w:val="clear" w:pos="720"/>
              </w:tabs>
              <w:jc w:val="center"/>
              <w:rPr/>
            </w:pPr>
            <w:r>
              <w:rPr/>
              <w:t>4</w:t>
            </w:r>
          </w:p>
        </w:tc>
      </w:tr>
      <w:tr>
        <w:trPr>
          <w:trHeight w:val="256" w:hRule="atLeast"/>
        </w:trPr>
        <w:tc>
          <w:tcPr>
            <w:tcW w:w="3064"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6" w:type="dxa"/>
            <w:tcBorders/>
            <w:vAlign w:val="bottom"/>
          </w:tcPr>
          <w:p>
            <w:pPr>
              <w:pStyle w:val="Normal"/>
              <w:tabs>
                <w:tab w:val="clear" w:pos="720"/>
              </w:tabs>
              <w:jc w:val="center"/>
              <w:rPr/>
            </w:pPr>
            <w:r>
              <w:rPr/>
              <w:t>5</w:t>
            </w:r>
          </w:p>
        </w:tc>
      </w:tr>
      <w:tr>
        <w:trPr>
          <w:trHeight w:val="256" w:hRule="atLeast"/>
        </w:trPr>
        <w:tc>
          <w:tcPr>
            <w:tcW w:w="3064"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6" w:type="dxa"/>
            <w:tcBorders/>
            <w:vAlign w:val="bottom"/>
          </w:tcPr>
          <w:p>
            <w:pPr>
              <w:pStyle w:val="Normal"/>
              <w:tabs>
                <w:tab w:val="clear" w:pos="720"/>
              </w:tabs>
              <w:jc w:val="center"/>
              <w:rPr/>
            </w:pPr>
            <w:r>
              <w:rPr/>
              <w:t>7</w:t>
            </w:r>
          </w:p>
        </w:tc>
      </w:tr>
      <w:tr>
        <w:trPr>
          <w:trHeight w:val="256" w:hRule="atLeast"/>
        </w:trPr>
        <w:tc>
          <w:tcPr>
            <w:tcW w:w="3064"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6" w:type="dxa"/>
            <w:tcBorders/>
            <w:vAlign w:val="bottom"/>
          </w:tcPr>
          <w:p>
            <w:pPr>
              <w:pStyle w:val="Normal"/>
              <w:tabs>
                <w:tab w:val="clear" w:pos="720"/>
              </w:tabs>
              <w:jc w:val="center"/>
              <w:rPr/>
            </w:pPr>
            <w:r>
              <w:rPr/>
              <w:t>8</w:t>
            </w:r>
          </w:p>
        </w:tc>
      </w:tr>
    </w:tbl>
    <w:p>
      <w:pPr>
        <w:pStyle w:val="Normal"/>
        <w:ind w:hanging="0"/>
        <w:rPr/>
      </w:pPr>
      <w:r>
        <w:rPr/>
        <w:commentReference w:id="22"/>
      </w:r>
    </w:p>
    <w:p>
      <w:pPr>
        <w:pStyle w:val="Normal"/>
        <w:ind w:hanging="0"/>
        <w:rPr/>
      </w:pPr>
      <w:r>
        <w:rPr/>
      </w:r>
      <w:r>
        <w:br w:type="page"/>
      </w:r>
    </w:p>
    <w:p>
      <w:pPr>
        <w:pStyle w:val="Normal"/>
        <w:ind w:hanging="0"/>
        <w:rPr/>
      </w:pPr>
      <w:r>
        <w:rPr/>
      </w:r>
    </w:p>
    <w:p>
      <w:pPr>
        <w:pStyle w:val="Normal"/>
        <w:ind w:hanging="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02300" cy="323024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anchor>
        </w:drawing>
      </w:r>
      <w:r>
        <w:rPr/>
        <w:tab/>
      </w:r>
      <w:r>
        <w:rPr/>
        <w:commentReference w:id="23"/>
      </w:r>
      <w:r>
        <w:rPr/>
        <w:t>Attēls 1.1 Metožu ātrdarbība lineāra skalā</w:t>
      </w:r>
    </w:p>
    <w:p>
      <w:pPr>
        <w:pStyle w:val="Normal"/>
        <w:ind w:hanging="0"/>
        <w:rPr/>
      </w:pPr>
      <w:r>
        <w:rPr/>
        <w:commentReference w:id="24"/>
      </w:r>
    </w:p>
    <w:p>
      <w:pPr>
        <w:pStyle w:val="Normal"/>
        <w:ind w:hanging="0"/>
        <w:rPr/>
      </w:pPr>
      <w:r>
        <w:rPr/>
        <w:t xml:space="preserve">Mainīgo izvēles metožu ātrdarbību attiecībā pret datu kopas instanču skaitu var redzēt attēlā 1.1. Metodes SHAP nav rezultāta pie 10000 instancēm (sample_size), jo metode pārsniedza 60 sekunžu laika ierobežojumu. </w:t>
      </w:r>
      <w:r>
        <w:br w:type="page"/>
      </w:r>
    </w:p>
    <w:p>
      <w:pPr>
        <w:pStyle w:val="Normal"/>
        <w:ind w:hanging="0"/>
        <w:rPr/>
      </w:pPr>
      <w:r>
        <w:rPr/>
        <w:tab/>
        <w:t>Lineāra skala grafikā var radīt interpretācijas problēmas, tāpēc attēla 1.1 ātrdarbība ir attēlota logaritmiskā skalā</w:t>
      </w:r>
    </w:p>
    <w:p>
      <w:pPr>
        <w:pStyle w:val="Normal"/>
        <w:ind w:hanging="0"/>
        <w:rPr/>
      </w:pPr>
      <w:r>
        <w:rPr/>
      </w:r>
    </w:p>
    <w:p>
      <w:pPr>
        <w:pStyle w:val="Normal"/>
        <w:ind w:hanging="0"/>
        <w:rPr/>
      </w:pPr>
      <w:r>
        <w:rPr/>
        <w:drawing>
          <wp:inline distT="0" distB="0" distL="0" distR="0">
            <wp:extent cx="5760085" cy="31191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p>
    <w:p>
      <w:pPr>
        <w:pStyle w:val="Normal"/>
        <w:ind w:hanging="0"/>
        <w:rPr/>
      </w:pPr>
      <w:r>
        <w:rPr/>
        <w:tab/>
        <w:tab/>
        <w:tab/>
        <w:tab/>
        <w:tab/>
        <w:tab/>
        <w:t xml:space="preserve">Attēls 1.1 Metožu ātrdarbība </w:t>
      </w:r>
      <w:r>
        <w:rPr>
          <w:rFonts w:eastAsia="Times New Roman" w:cs="Times New Roman"/>
          <w:color w:val="auto"/>
          <w:kern w:val="0"/>
          <w:sz w:val="24"/>
          <w:szCs w:val="24"/>
          <w:lang w:val="lv-LV" w:eastAsia="en-US" w:bidi="ar-SA"/>
        </w:rPr>
        <w:t>logaritmiskā</w:t>
      </w:r>
      <w:r>
        <w:rPr/>
        <w:t xml:space="preserve"> skalā</w:t>
      </w:r>
    </w:p>
    <w:p>
      <w:pPr>
        <w:pStyle w:val="Normal"/>
        <w:ind w:hanging="0"/>
        <w:rPr/>
      </w:pPr>
      <w:r>
        <w:rPr/>
      </w:r>
    </w:p>
    <w:p>
      <w:pPr>
        <w:pStyle w:val="Normal"/>
        <w:ind w:hanging="0"/>
        <w:rPr/>
      </w:pPr>
      <w:r>
        <w:rPr>
          <w:rFonts w:eastAsia="Times New Roman" w:cs="Times New Roman"/>
          <w:color w:val="auto"/>
          <w:kern w:val="0"/>
          <w:sz w:val="24"/>
          <w:szCs w:val="24"/>
          <w:lang w:val="lv-LV" w:eastAsia="en-US" w:bidi="ar-SA"/>
        </w:rPr>
        <w:t>Attēlā redzmas, ka vislēnāka metode ir shap (TreeSHAP), otra lēnākā ir pimp (Permutācijas mainīgo svarīgums). Ātrākā metode ir f_test (F-tests) vislabāk mērogojamā metode ir gini (Kritērija guvuma mērs), jo instanču skaits praktiski neietekmē metodes izpildes laiku.</w:t>
      </w:r>
      <w:r>
        <w:rPr/>
        <w:t>Sintētisko datu eksperimenta ātrdarbības kritērija noteikšanai tiek izmantota lielāka datu kopa ar 10000 datu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spacing w:before="720" w:after="720"/>
        <w:ind w:right="-1" w:hanging="0"/>
        <w:rPr/>
      </w:pPr>
      <w:r>
        <w:rPr/>
        <w:tab/>
        <w:tab/>
      </w:r>
    </w:p>
    <w:p>
      <w:pPr>
        <w:pStyle w:val="Normal"/>
        <w:spacing w:before="720" w:after="720"/>
        <w:ind w:right="-1" w:hanging="0"/>
        <w:rPr/>
      </w:pPr>
      <w:r>
        <w:rPr/>
        <w:t>Tabulā 1.1 redzams ātrdarbības kritērija apkopojums un ātrdarbības kritērija metodes rangs.</w:t>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 pārsniedz 60 sekunžu laika izpildes ierobežojumu</w:t>
      </w:r>
    </w:p>
    <w:p>
      <w:pPr>
        <w:pStyle w:val="Normal"/>
        <w:ind w:hanging="0"/>
        <w:rPr/>
      </w:pPr>
      <w:r>
        <w:rPr/>
      </w:r>
    </w:p>
    <w:p>
      <w:pPr>
        <w:pStyle w:val="Normal"/>
        <w:ind w:hanging="0"/>
        <w:rPr/>
      </w:pPr>
      <w:r>
        <w:rPr/>
      </w:r>
      <w:r>
        <w:br w:type="page"/>
      </w:r>
    </w:p>
    <w:p>
      <w:pPr>
        <w:pStyle w:val="Normal"/>
        <w:ind w:hanging="0"/>
        <w:rPr/>
      </w:pPr>
      <w:r>
        <w:rPr/>
      </w:r>
    </w:p>
    <w:p>
      <w:pPr>
        <w:pStyle w:val="Heading2"/>
        <w:numPr>
          <w:ilvl w:val="1"/>
          <w:numId w:val="4"/>
        </w:numPr>
        <w:rPr/>
      </w:pPr>
      <w:bookmarkStart w:id="44" w:name="__RefHeading___Toc9612_667262781"/>
      <w:bookmarkEnd w:id="44"/>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t xml:space="preserve">Eksperimenta rezultātu tiek izmantoti, lai novērtētu mainīgo izvēles metodes </w:t>
      </w:r>
      <w:r>
        <w:rPr>
          <w:rFonts w:eastAsia="Times New Roman" w:cs="Times New Roman"/>
          <w:color w:val="auto"/>
          <w:kern w:val="0"/>
          <w:sz w:val="24"/>
          <w:szCs w:val="24"/>
          <w:lang w:val="lv-LV" w:eastAsia="en-US" w:bidi="ar-SA"/>
        </w:rPr>
        <w:t>ir</w:t>
      </w:r>
      <w:r>
        <w:rPr/>
        <w:t xml:space="preserve"> pēc 5 kritērijiem (3 dabisko datu, 2 sintētisko datu). Atgādināšu, ka dabisko datiem ir 3 kritēriji:</w:t>
      </w:r>
    </w:p>
    <w:p>
      <w:pPr>
        <w:pStyle w:val="Normal"/>
        <w:ind w:hanging="0"/>
        <w:rPr/>
      </w:pPr>
      <w:r>
        <w:rPr/>
      </w:r>
    </w:p>
    <w:p>
      <w:pPr>
        <w:pStyle w:val="Normal"/>
        <w:numPr>
          <w:ilvl w:val="0"/>
          <w:numId w:val="14"/>
        </w:numPr>
        <w:rPr/>
      </w:pPr>
      <w:r>
        <w:rPr/>
        <w:t>Pirmais kritērijs “modeļa uzlabojums”. Tas raksturo vai ir iespējams atrast mainīgo apakškopu, kas uzlabo modeļa darbību.</w:t>
      </w:r>
    </w:p>
    <w:p>
      <w:pPr>
        <w:pStyle w:val="Normal"/>
        <w:numPr>
          <w:ilvl w:val="0"/>
          <w:numId w:val="14"/>
        </w:numPr>
        <w:rPr/>
      </w:pPr>
      <w:r>
        <w:rPr/>
        <w:t>Otrais kritērijs “lieko mainīgo nomešana”. Tas procentuāli nosaka, cik mainīgos ir iespējams atmest bez precizitātes zaudējuma.</w:t>
      </w:r>
    </w:p>
    <w:p>
      <w:pPr>
        <w:pStyle w:val="Normal"/>
        <w:numPr>
          <w:ilvl w:val="0"/>
          <w:numId w:val="14"/>
        </w:numPr>
        <w:rPr/>
      </w:pPr>
      <w:r>
        <w:rPr/>
        <w:t xml:space="preserve">Trešais kritērijs “minimālā modeļa veiktspēja”. Tas nosaka, kādu proporciju no modeļa veiktspējas ir iespējams saglabāt ar minimālu modeli (tāds modelis, kuram ir nomesti 80% no mainīgajiem). </w:t>
      </w:r>
    </w:p>
    <w:p>
      <w:pPr>
        <w:pStyle w:val="Normal"/>
        <w:numPr>
          <w:ilvl w:val="0"/>
          <w:numId w:val="0"/>
        </w:numPr>
        <w:ind w:left="1440" w:hanging="0"/>
        <w:rPr/>
      </w:pPr>
      <w:r>
        <w:rPr/>
      </w:r>
    </w:p>
    <w:p>
      <w:pPr>
        <w:pStyle w:val="Normal"/>
        <w:ind w:hanging="0"/>
        <w:rPr/>
      </w:pPr>
      <w:r>
        <w:rPr/>
        <w:t>Sintētiskajiem datiem ir izvirzīti 2 kritēriji:</w:t>
      </w:r>
    </w:p>
    <w:p>
      <w:pPr>
        <w:pStyle w:val="Normal"/>
        <w:ind w:hanging="0"/>
        <w:rPr/>
      </w:pPr>
      <w:r>
        <w:rPr/>
      </w:r>
    </w:p>
    <w:p>
      <w:pPr>
        <w:pStyle w:val="Normal"/>
        <w:numPr>
          <w:ilvl w:val="0"/>
          <w:numId w:val="17"/>
        </w:numPr>
        <w:rPr>
          <w:sz w:val="20"/>
          <w:szCs w:val="20"/>
        </w:rPr>
      </w:pPr>
      <w:r>
        <w:rPr>
          <w:rFonts w:eastAsia="Times New Roman" w:cs="Times New Roman"/>
          <w:color w:val="auto"/>
          <w:kern w:val="0"/>
          <w:sz w:val="24"/>
          <w:szCs w:val="24"/>
          <w:lang w:val="lv-LV" w:eastAsia="en-US" w:bidi="ar-SA"/>
        </w:rPr>
        <w:t>Pirmais kritērijs “Vidējā sintētisko datu precizitāte”. Tas raksturo modeļa spēju sintētiskajos datos atrast informatīvus mainīgos</w:t>
      </w:r>
    </w:p>
    <w:p>
      <w:pPr>
        <w:pStyle w:val="Normal"/>
        <w:numPr>
          <w:ilvl w:val="0"/>
          <w:numId w:val="17"/>
        </w:numPr>
        <w:rPr>
          <w:sz w:val="20"/>
          <w:szCs w:val="20"/>
        </w:rPr>
      </w:pPr>
      <w:r>
        <w:rPr>
          <w:rFonts w:eastAsia="Times New Roman" w:cs="Times New Roman"/>
          <w:color w:val="auto"/>
          <w:kern w:val="0"/>
          <w:sz w:val="24"/>
          <w:szCs w:val="24"/>
          <w:lang w:val="lv-LV" w:eastAsia="en-US" w:bidi="ar-SA"/>
        </w:rPr>
        <w:t>Otrais kritērijs “Vidējā ātrdarbība”. Tas raksturo, cik ātri mainīgo izvēles metodes spēj apstrādāt lielu datu kopu (kopa ar 10000 datu instancēm un 100 mainīgajiem)</w:t>
      </w:r>
    </w:p>
    <w:p>
      <w:pPr>
        <w:pStyle w:val="Normal"/>
        <w:rPr>
          <w:sz w:val="20"/>
          <w:szCs w:val="20"/>
        </w:rPr>
      </w:pPr>
      <w:r>
        <w:rPr>
          <w:sz w:val="20"/>
          <w:szCs w:val="20"/>
        </w:rPr>
      </w:r>
    </w:p>
    <w:p>
      <w:pPr>
        <w:pStyle w:val="Normal"/>
        <w:ind w:hanging="0"/>
        <w:rPr/>
      </w:pPr>
      <w:r>
        <w:rPr/>
        <w:t xml:space="preserve">Dabisko un sintētisko datu eksperimenta rezultātus var redzēt tabulā 1.1. </w:t>
      </w:r>
      <w:r>
        <w:rPr>
          <w:sz w:val="24"/>
          <w:szCs w:val="24"/>
          <w:lang w:val="lv-LV" w:eastAsia="en-US" w:bidi="ar-SA"/>
        </w:rPr>
        <w:t xml:space="preserve">Tabulā 1.1 katram kritērijam labāka metode ir </w:t>
      </w:r>
      <w:r>
        <w:rPr>
          <w:rFonts w:eastAsia="Times New Roman" w:cs="Times New Roman"/>
          <w:color w:val="auto"/>
          <w:kern w:val="0"/>
          <w:sz w:val="24"/>
          <w:szCs w:val="24"/>
          <w:lang w:val="lv-LV" w:eastAsia="en-US" w:bidi="ar-SA"/>
        </w:rPr>
        <w:t>izcelta.</w:t>
      </w:r>
    </w:p>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minimāla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rPr/>
      </w:pPr>
      <w:r>
        <w:rPr/>
      </w:r>
    </w:p>
    <w:p>
      <w:pPr>
        <w:pStyle w:val="Normal"/>
        <w:rPr/>
      </w:pPr>
      <w:r>
        <w:rPr/>
        <w:t>* pārsniedz 60 sekunžu laika ierobežojumu</w:t>
      </w:r>
    </w:p>
    <w:p>
      <w:pPr>
        <w:pStyle w:val="Normal"/>
        <w:rPr/>
      </w:pPr>
      <w:r>
        <w:rPr/>
      </w:r>
    </w:p>
    <w:p>
      <w:pPr>
        <w:pStyle w:val="Normal"/>
        <w:ind w:hanging="0"/>
        <w:rPr/>
      </w:pPr>
      <w:r>
        <w:rPr/>
        <w:tab/>
        <w:t xml:space="preserve">Tabulas 1.1 datus ir iespējams </w:t>
      </w:r>
      <w:r>
        <w:rPr>
          <w:lang w:val="lv-LV" w:eastAsia="en-US" w:bidi="ar-SA"/>
        </w:rPr>
        <w:t xml:space="preserve">sakārtot pēc konkrētā kritērija ranga. Ranžēšanas procedūras rezultāts attēlots tabulā 1.2. Ranžēšana notiek pēc augstākās vērtības kritērijiem “modeļa uzlabojums”, “lieko mainīgo nomešana”, “minimāla modeļa veiktspēja”, </w:t>
      </w:r>
      <w:r>
        <w:rPr>
          <w:sz w:val="24"/>
          <w:szCs w:val="24"/>
          <w:lang w:val="lv-LV" w:eastAsia="en-US" w:bidi="ar-SA"/>
        </w:rPr>
        <w:t>“vidējā sintētisko datu precizitāte” un pēc zemākas vērtības kritērijam “vidējā ātrdarbība”. Ranžēšana izmanto tabulas vidējo vērtību. Gadījumos, kad metodēmir vienādi rezultāti tām tiek pišķirts vienāds rangs.</w:t>
      </w:r>
    </w:p>
    <w:p>
      <w:pPr>
        <w:pStyle w:val="Normal"/>
        <w:spacing w:before="720" w:after="720"/>
        <w:ind w:right="-1"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r>
        <w:br w:type="page"/>
      </w:r>
    </w:p>
    <w:p>
      <w:pPr>
        <w:pStyle w:val="TextBody"/>
        <w:rPr/>
      </w:pPr>
      <w:r>
        <w:rPr/>
      </w:r>
    </w:p>
    <w:p>
      <w:pPr>
        <w:pStyle w:val="TextBody"/>
        <w:rPr/>
      </w:pPr>
      <w:r>
        <w:rPr/>
        <w:tab/>
        <w:tab/>
        <w:tab/>
        <w:tab/>
        <w:tab/>
        <w:tab/>
        <w:t xml:space="preserve">Tabula 1.2 </w:t>
      </w:r>
      <w:r>
        <w:rPr>
          <w:rFonts w:eastAsia="Times New Roman" w:cs="Times New Roman"/>
          <w:color w:val="auto"/>
          <w:kern w:val="0"/>
          <w:sz w:val="24"/>
          <w:szCs w:val="24"/>
          <w:lang w:val="lv-LV" w:eastAsia="en-US" w:bidi="ar-SA"/>
        </w:rPr>
        <w:t>Kritēriju ranžēšana</w:t>
      </w:r>
    </w:p>
    <w:tbl>
      <w:tblPr>
        <w:tblW w:w="9071" w:type="dxa"/>
        <w:jc w:val="left"/>
        <w:tblInd w:w="55" w:type="dxa"/>
        <w:tblCellMar>
          <w:top w:w="55" w:type="dxa"/>
          <w:left w:w="55" w:type="dxa"/>
          <w:bottom w:w="55" w:type="dxa"/>
          <w:right w:w="55" w:type="dxa"/>
        </w:tblCellMar>
      </w:tblPr>
      <w:tblGrid>
        <w:gridCol w:w="1133"/>
        <w:gridCol w:w="1134"/>
        <w:gridCol w:w="1134"/>
        <w:gridCol w:w="1134"/>
        <w:gridCol w:w="1134"/>
        <w:gridCol w:w="1134"/>
        <w:gridCol w:w="1134"/>
        <w:gridCol w:w="1133"/>
      </w:tblGrid>
      <w:tr>
        <w:trPr/>
        <w:tc>
          <w:tcPr>
            <w:tcW w:w="1133"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rPr>
            </w:pPr>
            <w:r>
              <w:rPr>
                <w:b/>
              </w:rPr>
              <w:t>metode</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modeļa uzlabojums</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lieko mainīgo nomešana</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minimāla modeļa veiktspēja</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sintētisko datu precizitāte</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Ātrdarbība (sek)</w:t>
            </w:r>
          </w:p>
        </w:tc>
        <w:tc>
          <w:tcPr>
            <w:tcW w:w="1134" w:type="dxa"/>
            <w:tcBorders>
              <w:top w:val="single" w:sz="2" w:space="0" w:color="000000"/>
              <w:left w:val="single" w:sz="2" w:space="0" w:color="000000"/>
              <w:bottom w:val="single" w:sz="2" w:space="0" w:color="000000"/>
            </w:tcBorders>
          </w:tcPr>
          <w:p>
            <w:pPr>
              <w:pStyle w:val="TableContents"/>
              <w:jc w:val="left"/>
              <w:rPr/>
            </w:pPr>
            <w:r>
              <w:rPr/>
              <w:t>vidējais kritēriju rangs</w:t>
            </w:r>
          </w:p>
        </w:tc>
        <w:tc>
          <w:tcPr>
            <w:tcW w:w="1133" w:type="dxa"/>
            <w:tcBorders>
              <w:top w:val="single" w:sz="2" w:space="0" w:color="000000"/>
              <w:left w:val="single" w:sz="2" w:space="0" w:color="000000"/>
              <w:bottom w:val="single" w:sz="2" w:space="0" w:color="000000"/>
              <w:right w:val="single" w:sz="2" w:space="0" w:color="000000"/>
            </w:tcBorders>
          </w:tcPr>
          <w:p>
            <w:pPr>
              <w:pStyle w:val="TableContents"/>
              <w:jc w:val="left"/>
              <w:rPr/>
            </w:pPr>
            <w:r>
              <w:rPr/>
              <w:t>metodes rangs</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Kritērija guvums</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2.6</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1</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Abpusēja informācijas mērs</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4</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F-tests</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3.8</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3</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Permutācijas</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3.2</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2</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TreeSHAP</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5.6</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7</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Pīrsona koef.</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6</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Spīrmana koef.</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4.8</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5</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Kendala koef.</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6.4</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8</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Spēka mērs</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9</w:t>
            </w:r>
          </w:p>
        </w:tc>
      </w:tr>
    </w:tbl>
    <w:p>
      <w:pPr>
        <w:pStyle w:val="Normal"/>
        <w:spacing w:before="720" w:after="720"/>
        <w:ind w:right="-1" w:hanging="0"/>
        <w:rPr/>
      </w:pPr>
      <w:r>
        <w:rPr>
          <w:rFonts w:eastAsia="Times New Roman" w:cs="Times New Roman"/>
          <w:color w:val="auto"/>
          <w:kern w:val="0"/>
          <w:sz w:val="24"/>
          <w:szCs w:val="24"/>
          <w:lang w:val="lv-LV" w:eastAsia="en-US" w:bidi="ar-SA"/>
        </w:rPr>
        <w:tab/>
      </w:r>
      <w:r>
        <w:br w:type="page"/>
      </w:r>
    </w:p>
    <w:p>
      <w:pPr>
        <w:pStyle w:val="Normal"/>
        <w:spacing w:before="720" w:after="720"/>
        <w:ind w:right="-1" w:hanging="0"/>
        <w:rPr/>
      </w:pPr>
      <w:r>
        <w:rPr>
          <w:rFonts w:eastAsia="Times New Roman" w:cs="Times New Roman"/>
          <w:color w:val="auto"/>
          <w:kern w:val="0"/>
          <w:sz w:val="24"/>
          <w:szCs w:val="24"/>
          <w:lang w:val="lv-LV" w:eastAsia="en-US" w:bidi="ar-SA"/>
        </w:rPr>
        <w:t>Talāk tabulā 1.3 var redzēt vidējo kritēriju rangu un konkrētās metodes rangu</w:t>
      </w:r>
    </w:p>
    <w:p>
      <w:pPr>
        <w:pStyle w:val="Normal"/>
        <w:rPr/>
      </w:pPr>
      <w:r>
        <w:rPr/>
        <w:tab/>
        <w:t xml:space="preserve">Tabula 1.3 Mainīgo </w:t>
      </w:r>
      <w:r>
        <w:rPr>
          <w:rFonts w:eastAsia="Times New Roman" w:cs="Times New Roman"/>
          <w:color w:val="auto"/>
          <w:kern w:val="0"/>
          <w:sz w:val="24"/>
          <w:szCs w:val="24"/>
          <w:lang w:val="lv-LV" w:eastAsia="en-US" w:bidi="ar-SA"/>
        </w:rPr>
        <w:t>izvēles</w:t>
      </w:r>
      <w:r>
        <w:rPr/>
        <w:t xml:space="preserve"> metožu novērtējums</w:t>
      </w:r>
      <w:r>
        <w:rPr>
          <w:rFonts w:eastAsia="Times New Roman" w:cs="Times New Roman"/>
          <w:color w:val="auto"/>
          <w:kern w:val="0"/>
          <w:sz w:val="24"/>
          <w:szCs w:val="24"/>
          <w:lang w:val="lv-LV" w:eastAsia="en-US" w:bidi="ar-SA"/>
        </w:rPr>
        <w:t xml:space="preserve"> pēc kritēriju vidējā ranga</w:t>
      </w:r>
    </w:p>
    <w:p>
      <w:pPr>
        <w:pStyle w:val="Normal"/>
        <w:ind w:hanging="0"/>
        <w:rPr/>
      </w:pPr>
      <w:r>
        <w:rPr/>
      </w:r>
    </w:p>
    <w:tbl>
      <w:tblPr>
        <w:tblW w:w="7823" w:type="dxa"/>
        <w:jc w:val="left"/>
        <w:tblInd w:w="-30" w:type="dxa"/>
        <w:tblCellMar>
          <w:top w:w="0" w:type="dxa"/>
          <w:left w:w="30" w:type="dxa"/>
          <w:bottom w:w="0" w:type="dxa"/>
          <w:right w:w="30" w:type="dxa"/>
        </w:tblCellMar>
      </w:tblPr>
      <w:tblGrid>
        <w:gridCol w:w="2569"/>
        <w:gridCol w:w="2368"/>
        <w:gridCol w:w="2886"/>
      </w:tblGrid>
      <w:tr>
        <w:trPr>
          <w:trHeight w:val="256" w:hRule="atLeast"/>
        </w:trPr>
        <w:tc>
          <w:tcPr>
            <w:tcW w:w="2569" w:type="dxa"/>
            <w:tcBorders/>
            <w:vAlign w:val="bottom"/>
          </w:tcPr>
          <w:p>
            <w:pPr>
              <w:pStyle w:val="Normal"/>
              <w:tabs>
                <w:tab w:val="clear" w:pos="720"/>
              </w:tabs>
              <w:jc w:val="center"/>
              <w:rPr/>
            </w:pPr>
            <w:r>
              <w:rPr>
                <w:b/>
              </w:rPr>
              <w:t>metode</w:t>
            </w:r>
          </w:p>
        </w:tc>
        <w:tc>
          <w:tcPr>
            <w:tcW w:w="2368" w:type="dxa"/>
            <w:tcBorders/>
            <w:vAlign w:val="bottom"/>
          </w:tcPr>
          <w:p>
            <w:pPr>
              <w:pStyle w:val="Normal"/>
              <w:tabs>
                <w:tab w:val="clear" w:pos="720"/>
              </w:tabs>
              <w:ind w:hanging="0"/>
              <w:jc w:val="left"/>
              <w:rPr/>
            </w:pPr>
            <w:r>
              <w:rPr/>
              <w:t>vidējais kritēriju rangs</w:t>
            </w:r>
          </w:p>
        </w:tc>
        <w:tc>
          <w:tcPr>
            <w:tcW w:w="2886" w:type="dxa"/>
            <w:tcBorders/>
            <w:vAlign w:val="bottom"/>
          </w:tcPr>
          <w:p>
            <w:pPr>
              <w:pStyle w:val="Normal"/>
              <w:tabs>
                <w:tab w:val="clear" w:pos="720"/>
              </w:tabs>
              <w:ind w:hanging="0"/>
              <w:jc w:val="left"/>
              <w:rPr/>
            </w:pPr>
            <w:r>
              <w:rPr/>
              <w:t xml:space="preserve"> </w:t>
            </w:r>
            <w:r>
              <w:rPr/>
              <w:t>metodes rangs</w:t>
            </w:r>
          </w:p>
        </w:tc>
      </w:tr>
      <w:tr>
        <w:trPr>
          <w:trHeight w:val="256" w:hRule="atLeast"/>
        </w:trPr>
        <w:tc>
          <w:tcPr>
            <w:tcW w:w="2569" w:type="dxa"/>
            <w:tcBorders/>
            <w:vAlign w:val="bottom"/>
          </w:tcPr>
          <w:p>
            <w:pPr>
              <w:pStyle w:val="Normal"/>
              <w:tabs>
                <w:tab w:val="clear" w:pos="720"/>
              </w:tabs>
              <w:jc w:val="center"/>
              <w:rPr/>
            </w:pPr>
            <w:r>
              <w:rPr/>
              <w:t>Kritērija guvums</w:t>
            </w:r>
          </w:p>
        </w:tc>
        <w:tc>
          <w:tcPr>
            <w:tcW w:w="2368" w:type="dxa"/>
            <w:tcBorders/>
            <w:vAlign w:val="bottom"/>
          </w:tcPr>
          <w:p>
            <w:pPr>
              <w:pStyle w:val="Normal"/>
              <w:tabs>
                <w:tab w:val="clear" w:pos="720"/>
              </w:tabs>
              <w:jc w:val="right"/>
              <w:rPr/>
            </w:pPr>
            <w:r>
              <w:rPr/>
              <w:t>2.6</w:t>
            </w:r>
          </w:p>
        </w:tc>
        <w:tc>
          <w:tcPr>
            <w:tcW w:w="2886" w:type="dxa"/>
            <w:tcBorders/>
            <w:vAlign w:val="bottom"/>
          </w:tcPr>
          <w:p>
            <w:pPr>
              <w:pStyle w:val="Normal"/>
              <w:tabs>
                <w:tab w:val="clear" w:pos="720"/>
              </w:tabs>
              <w:jc w:val="right"/>
              <w:rPr/>
            </w:pPr>
            <w:r>
              <w:rPr/>
              <w:t>1</w:t>
            </w:r>
          </w:p>
        </w:tc>
      </w:tr>
      <w:tr>
        <w:trPr>
          <w:trHeight w:val="256" w:hRule="atLeast"/>
        </w:trPr>
        <w:tc>
          <w:tcPr>
            <w:tcW w:w="2569" w:type="dxa"/>
            <w:tcBorders/>
            <w:vAlign w:val="bottom"/>
          </w:tcPr>
          <w:p>
            <w:pPr>
              <w:pStyle w:val="Normal"/>
              <w:tabs>
                <w:tab w:val="clear" w:pos="720"/>
              </w:tabs>
              <w:jc w:val="center"/>
              <w:rPr/>
            </w:pPr>
            <w:r>
              <w:rPr/>
              <w:t>Permutācijas mainīgo svarīgums</w:t>
            </w:r>
          </w:p>
        </w:tc>
        <w:tc>
          <w:tcPr>
            <w:tcW w:w="2368" w:type="dxa"/>
            <w:tcBorders/>
            <w:vAlign w:val="bottom"/>
          </w:tcPr>
          <w:p>
            <w:pPr>
              <w:pStyle w:val="Normal"/>
              <w:tabs>
                <w:tab w:val="clear" w:pos="720"/>
              </w:tabs>
              <w:jc w:val="right"/>
              <w:rPr/>
            </w:pPr>
            <w:r>
              <w:rPr/>
              <w:t>3.2</w:t>
            </w:r>
          </w:p>
        </w:tc>
        <w:tc>
          <w:tcPr>
            <w:tcW w:w="2886" w:type="dxa"/>
            <w:tcBorders/>
            <w:vAlign w:val="bottom"/>
          </w:tcPr>
          <w:p>
            <w:pPr>
              <w:pStyle w:val="Normal"/>
              <w:tabs>
                <w:tab w:val="clear" w:pos="720"/>
              </w:tabs>
              <w:jc w:val="right"/>
              <w:rPr/>
            </w:pPr>
            <w:r>
              <w:rPr/>
              <w:t>2</w:t>
            </w:r>
          </w:p>
        </w:tc>
      </w:tr>
      <w:tr>
        <w:trPr>
          <w:trHeight w:val="256" w:hRule="atLeast"/>
        </w:trPr>
        <w:tc>
          <w:tcPr>
            <w:tcW w:w="2569" w:type="dxa"/>
            <w:tcBorders/>
            <w:vAlign w:val="bottom"/>
          </w:tcPr>
          <w:p>
            <w:pPr>
              <w:pStyle w:val="Normal"/>
              <w:tabs>
                <w:tab w:val="clear" w:pos="720"/>
              </w:tabs>
              <w:jc w:val="center"/>
              <w:rPr/>
            </w:pPr>
            <w:r>
              <w:rPr/>
              <w:t>F-tests</w:t>
            </w:r>
          </w:p>
        </w:tc>
        <w:tc>
          <w:tcPr>
            <w:tcW w:w="2368" w:type="dxa"/>
            <w:tcBorders/>
            <w:vAlign w:val="bottom"/>
          </w:tcPr>
          <w:p>
            <w:pPr>
              <w:pStyle w:val="Normal"/>
              <w:tabs>
                <w:tab w:val="clear" w:pos="720"/>
              </w:tabs>
              <w:jc w:val="right"/>
              <w:rPr/>
            </w:pPr>
            <w:r>
              <w:rPr/>
              <w:t>3.8</w:t>
            </w:r>
          </w:p>
        </w:tc>
        <w:tc>
          <w:tcPr>
            <w:tcW w:w="2886" w:type="dxa"/>
            <w:tcBorders/>
            <w:vAlign w:val="bottom"/>
          </w:tcPr>
          <w:p>
            <w:pPr>
              <w:pStyle w:val="Normal"/>
              <w:tabs>
                <w:tab w:val="clear" w:pos="720"/>
              </w:tabs>
              <w:jc w:val="right"/>
              <w:rPr/>
            </w:pPr>
            <w:r>
              <w:rPr/>
              <w:t>3</w:t>
            </w:r>
          </w:p>
        </w:tc>
      </w:tr>
      <w:tr>
        <w:trPr>
          <w:trHeight w:val="256" w:hRule="atLeast"/>
        </w:trPr>
        <w:tc>
          <w:tcPr>
            <w:tcW w:w="2569" w:type="dxa"/>
            <w:tcBorders/>
            <w:vAlign w:val="bottom"/>
          </w:tcPr>
          <w:p>
            <w:pPr>
              <w:pStyle w:val="Normal"/>
              <w:tabs>
                <w:tab w:val="clear" w:pos="720"/>
              </w:tabs>
              <w:jc w:val="center"/>
              <w:rPr/>
            </w:pPr>
            <w:r>
              <w:rPr/>
              <w:t>Abpusēja informācijas mērs</w:t>
            </w:r>
          </w:p>
        </w:tc>
        <w:tc>
          <w:tcPr>
            <w:tcW w:w="2368" w:type="dxa"/>
            <w:tcBorders/>
            <w:vAlign w:val="bottom"/>
          </w:tcPr>
          <w:p>
            <w:pPr>
              <w:pStyle w:val="Normal"/>
              <w:tabs>
                <w:tab w:val="clear" w:pos="720"/>
              </w:tabs>
              <w:jc w:val="right"/>
              <w:rPr/>
            </w:pPr>
            <w:r>
              <w:rPr/>
              <w:t>4</w:t>
            </w:r>
          </w:p>
        </w:tc>
        <w:tc>
          <w:tcPr>
            <w:tcW w:w="2886" w:type="dxa"/>
            <w:tcBorders/>
            <w:vAlign w:val="bottom"/>
          </w:tcPr>
          <w:p>
            <w:pPr>
              <w:pStyle w:val="Normal"/>
              <w:tabs>
                <w:tab w:val="clear" w:pos="720"/>
              </w:tabs>
              <w:jc w:val="right"/>
              <w:rPr/>
            </w:pPr>
            <w:r>
              <w:rPr/>
              <w:t>4</w:t>
            </w:r>
          </w:p>
        </w:tc>
      </w:tr>
      <w:tr>
        <w:trPr>
          <w:trHeight w:val="256" w:hRule="atLeast"/>
        </w:trPr>
        <w:tc>
          <w:tcPr>
            <w:tcW w:w="2569" w:type="dxa"/>
            <w:tcBorders/>
            <w:vAlign w:val="bottom"/>
          </w:tcPr>
          <w:p>
            <w:pPr>
              <w:pStyle w:val="Normal"/>
              <w:tabs>
                <w:tab w:val="clear" w:pos="720"/>
              </w:tabs>
              <w:jc w:val="center"/>
              <w:rPr/>
            </w:pPr>
            <w:r>
              <w:rPr/>
              <w:t>Spīrmana koef.</w:t>
            </w:r>
          </w:p>
        </w:tc>
        <w:tc>
          <w:tcPr>
            <w:tcW w:w="2368" w:type="dxa"/>
            <w:tcBorders/>
            <w:vAlign w:val="bottom"/>
          </w:tcPr>
          <w:p>
            <w:pPr>
              <w:pStyle w:val="Normal"/>
              <w:tabs>
                <w:tab w:val="clear" w:pos="720"/>
              </w:tabs>
              <w:jc w:val="right"/>
              <w:rPr/>
            </w:pPr>
            <w:r>
              <w:rPr/>
              <w:t>4.8</w:t>
            </w:r>
          </w:p>
        </w:tc>
        <w:tc>
          <w:tcPr>
            <w:tcW w:w="2886" w:type="dxa"/>
            <w:tcBorders/>
            <w:vAlign w:val="bottom"/>
          </w:tcPr>
          <w:p>
            <w:pPr>
              <w:pStyle w:val="Normal"/>
              <w:tabs>
                <w:tab w:val="clear" w:pos="720"/>
              </w:tabs>
              <w:jc w:val="right"/>
              <w:rPr/>
            </w:pPr>
            <w:r>
              <w:rPr/>
              <w:t>5</w:t>
            </w:r>
          </w:p>
        </w:tc>
      </w:tr>
      <w:tr>
        <w:trPr>
          <w:trHeight w:val="256" w:hRule="atLeast"/>
        </w:trPr>
        <w:tc>
          <w:tcPr>
            <w:tcW w:w="2569" w:type="dxa"/>
            <w:tcBorders/>
            <w:vAlign w:val="bottom"/>
          </w:tcPr>
          <w:p>
            <w:pPr>
              <w:pStyle w:val="Normal"/>
              <w:tabs>
                <w:tab w:val="clear" w:pos="720"/>
              </w:tabs>
              <w:jc w:val="center"/>
              <w:rPr/>
            </w:pPr>
            <w:r>
              <w:rPr/>
              <w:t>Pīrsona koef.</w:t>
            </w:r>
          </w:p>
        </w:tc>
        <w:tc>
          <w:tcPr>
            <w:tcW w:w="2368" w:type="dxa"/>
            <w:tcBorders/>
            <w:vAlign w:val="bottom"/>
          </w:tcPr>
          <w:p>
            <w:pPr>
              <w:pStyle w:val="Normal"/>
              <w:tabs>
                <w:tab w:val="clear" w:pos="720"/>
              </w:tabs>
              <w:jc w:val="right"/>
              <w:rPr/>
            </w:pPr>
            <w:r>
              <w:rPr/>
              <w:t>5</w:t>
            </w:r>
          </w:p>
        </w:tc>
        <w:tc>
          <w:tcPr>
            <w:tcW w:w="2886" w:type="dxa"/>
            <w:tcBorders/>
            <w:vAlign w:val="bottom"/>
          </w:tcPr>
          <w:p>
            <w:pPr>
              <w:pStyle w:val="Normal"/>
              <w:tabs>
                <w:tab w:val="clear" w:pos="720"/>
              </w:tabs>
              <w:jc w:val="right"/>
              <w:rPr/>
            </w:pPr>
            <w:r>
              <w:rPr/>
              <w:t>6</w:t>
            </w:r>
          </w:p>
        </w:tc>
      </w:tr>
      <w:tr>
        <w:trPr>
          <w:trHeight w:val="256" w:hRule="atLeast"/>
        </w:trPr>
        <w:tc>
          <w:tcPr>
            <w:tcW w:w="2569" w:type="dxa"/>
            <w:tcBorders/>
            <w:vAlign w:val="bottom"/>
          </w:tcPr>
          <w:p>
            <w:pPr>
              <w:pStyle w:val="Normal"/>
              <w:tabs>
                <w:tab w:val="clear" w:pos="720"/>
              </w:tabs>
              <w:jc w:val="center"/>
              <w:rPr/>
            </w:pPr>
            <w:r>
              <w:rPr/>
              <w:t>TreeSHAP</w:t>
            </w:r>
          </w:p>
        </w:tc>
        <w:tc>
          <w:tcPr>
            <w:tcW w:w="2368" w:type="dxa"/>
            <w:tcBorders/>
            <w:vAlign w:val="bottom"/>
          </w:tcPr>
          <w:p>
            <w:pPr>
              <w:pStyle w:val="Normal"/>
              <w:tabs>
                <w:tab w:val="clear" w:pos="720"/>
              </w:tabs>
              <w:jc w:val="right"/>
              <w:rPr/>
            </w:pPr>
            <w:r>
              <w:rPr/>
              <w:t>5.6</w:t>
            </w:r>
          </w:p>
        </w:tc>
        <w:tc>
          <w:tcPr>
            <w:tcW w:w="2886" w:type="dxa"/>
            <w:tcBorders/>
            <w:vAlign w:val="bottom"/>
          </w:tcPr>
          <w:p>
            <w:pPr>
              <w:pStyle w:val="Normal"/>
              <w:tabs>
                <w:tab w:val="clear" w:pos="720"/>
              </w:tabs>
              <w:jc w:val="right"/>
              <w:rPr/>
            </w:pPr>
            <w:r>
              <w:rPr/>
              <w:t>7</w:t>
            </w:r>
          </w:p>
        </w:tc>
      </w:tr>
      <w:tr>
        <w:trPr>
          <w:trHeight w:val="256" w:hRule="atLeast"/>
        </w:trPr>
        <w:tc>
          <w:tcPr>
            <w:tcW w:w="2569" w:type="dxa"/>
            <w:tcBorders/>
            <w:vAlign w:val="bottom"/>
          </w:tcPr>
          <w:p>
            <w:pPr>
              <w:pStyle w:val="Normal"/>
              <w:tabs>
                <w:tab w:val="clear" w:pos="720"/>
              </w:tabs>
              <w:jc w:val="center"/>
              <w:rPr/>
            </w:pPr>
            <w:r>
              <w:rPr/>
              <w:t>Kendala koef.</w:t>
            </w:r>
          </w:p>
        </w:tc>
        <w:tc>
          <w:tcPr>
            <w:tcW w:w="2368" w:type="dxa"/>
            <w:tcBorders/>
            <w:vAlign w:val="bottom"/>
          </w:tcPr>
          <w:p>
            <w:pPr>
              <w:pStyle w:val="Normal"/>
              <w:tabs>
                <w:tab w:val="clear" w:pos="720"/>
              </w:tabs>
              <w:jc w:val="right"/>
              <w:rPr/>
            </w:pPr>
            <w:r>
              <w:rPr/>
              <w:t>6.4</w:t>
            </w:r>
          </w:p>
        </w:tc>
        <w:tc>
          <w:tcPr>
            <w:tcW w:w="2886" w:type="dxa"/>
            <w:tcBorders/>
            <w:vAlign w:val="bottom"/>
          </w:tcPr>
          <w:p>
            <w:pPr>
              <w:pStyle w:val="Normal"/>
              <w:tabs>
                <w:tab w:val="clear" w:pos="720"/>
              </w:tabs>
              <w:jc w:val="right"/>
              <w:rPr/>
            </w:pPr>
            <w:r>
              <w:rPr/>
              <w:t>8</w:t>
            </w:r>
          </w:p>
        </w:tc>
      </w:tr>
      <w:tr>
        <w:trPr>
          <w:trHeight w:val="256" w:hRule="atLeast"/>
        </w:trPr>
        <w:tc>
          <w:tcPr>
            <w:tcW w:w="2569" w:type="dxa"/>
            <w:tcBorders/>
            <w:vAlign w:val="bottom"/>
          </w:tcPr>
          <w:p>
            <w:pPr>
              <w:pStyle w:val="Normal"/>
              <w:tabs>
                <w:tab w:val="clear" w:pos="720"/>
              </w:tabs>
              <w:jc w:val="center"/>
              <w:rPr/>
            </w:pPr>
            <w:r>
              <w:rPr/>
              <w:t>Spēka mērs</w:t>
            </w:r>
          </w:p>
        </w:tc>
        <w:tc>
          <w:tcPr>
            <w:tcW w:w="2368" w:type="dxa"/>
            <w:tcBorders/>
            <w:vAlign w:val="bottom"/>
          </w:tcPr>
          <w:p>
            <w:pPr>
              <w:pStyle w:val="Normal"/>
              <w:tabs>
                <w:tab w:val="clear" w:pos="720"/>
              </w:tabs>
              <w:jc w:val="right"/>
              <w:rPr/>
            </w:pPr>
            <w:r>
              <w:rPr/>
              <w:t>8</w:t>
            </w:r>
          </w:p>
        </w:tc>
        <w:tc>
          <w:tcPr>
            <w:tcW w:w="2886" w:type="dxa"/>
            <w:tcBorders/>
            <w:vAlign w:val="bottom"/>
          </w:tcPr>
          <w:p>
            <w:pPr>
              <w:pStyle w:val="Normal"/>
              <w:tabs>
                <w:tab w:val="clear" w:pos="720"/>
              </w:tabs>
              <w:jc w:val="right"/>
              <w:rPr/>
            </w:pPr>
            <w:r>
              <w:rPr/>
              <w:t>9</w:t>
            </w:r>
          </w:p>
        </w:tc>
      </w:tr>
    </w:tbl>
    <w:p>
      <w:pPr>
        <w:pStyle w:val="Normal"/>
        <w:rPr/>
      </w:pPr>
      <w:r>
        <w:rPr/>
      </w:r>
    </w:p>
    <w:p>
      <w:pPr>
        <w:pStyle w:val="Normal"/>
        <w:rPr/>
      </w:pPr>
      <w:r>
        <w:rPr/>
      </w:r>
    </w:p>
    <w:p>
      <w:pPr>
        <w:pStyle w:val="Normal"/>
        <w:rPr/>
      </w:pPr>
      <w:r>
        <w:rPr/>
        <w:t>Var secināt, ka kritērija guvums ir vislabākā (metodes rangs ir 1) mainīgo izvēles metode un spēka mērs ir visliktākā (metodes rangs ir 9)</w:t>
      </w:r>
      <w:r>
        <w:br w:type="page"/>
      </w:r>
    </w:p>
    <w:p>
      <w:pPr>
        <w:pStyle w:val="Heading2"/>
        <w:numPr>
          <w:ilvl w:val="1"/>
          <w:numId w:val="4"/>
        </w:numPr>
        <w:ind w:left="1296" w:right="-1" w:firstLine="720"/>
        <w:rPr/>
      </w:pPr>
      <w:bookmarkStart w:id="45" w:name="__RefHeading___Toc15441_3955443528"/>
      <w:bookmarkEnd w:id="45"/>
      <w:r>
        <w:rPr>
          <w:lang w:val="lv-LV" w:eastAsia="en-US" w:bidi="ar-SA"/>
        </w:rPr>
        <w:t xml:space="preserve">Maksimālas veiktspējas </w:t>
      </w:r>
      <w:r>
        <w:rPr/>
        <w:t xml:space="preserve">mainīgo </w:t>
      </w:r>
      <w:r>
        <w:rPr>
          <w:rFonts w:eastAsia="Times New Roman" w:cs="Arial"/>
          <w:b/>
          <w:bCs/>
          <w:iCs/>
          <w:color w:val="auto"/>
          <w:kern w:val="0"/>
          <w:sz w:val="28"/>
          <w:szCs w:val="28"/>
          <w:lang w:val="lv-LV" w:eastAsia="en-US" w:bidi="ar-SA"/>
        </w:rPr>
        <w:t>kopu</w:t>
      </w:r>
      <w:r>
        <w:rPr/>
        <w:t xml:space="preserve"> a</w:t>
      </w:r>
      <w:r>
        <w:rPr/>
        <w:commentReference w:id="25"/>
      </w:r>
      <w:r>
        <w:rPr/>
        <w:t>nalīze</w:t>
      </w:r>
    </w:p>
    <w:p>
      <w:pPr>
        <w:pStyle w:val="Normal"/>
        <w:ind w:right="-1" w:hanging="0"/>
        <w:rPr/>
      </w:pPr>
      <w:r>
        <w:rPr/>
        <w:tab/>
      </w: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4"/>
        </w:numPr>
        <w:rPr/>
      </w:pPr>
      <w:r>
        <w:rPr/>
        <w:t>Pirmais kritērijs “modeļa uzlabojums”. Tas raksturo vai ir iespējams atrast mainīgo apakškopu, kas uzlabo modeļa darbību.</w:t>
      </w:r>
    </w:p>
    <w:p>
      <w:pPr>
        <w:pStyle w:val="Normal"/>
        <w:numPr>
          <w:ilvl w:val="0"/>
          <w:numId w:val="14"/>
        </w:numPr>
        <w:rPr/>
      </w:pPr>
      <w:r>
        <w:rPr/>
        <w:t>Otrais kritērijs “lieko mainīgo nomešana”. Tas procentuāli nosaka, cik mainīgos ir iespējams atmest bez precizitātes zaudējuma.</w:t>
      </w:r>
    </w:p>
    <w:p>
      <w:pPr>
        <w:pStyle w:val="Normal"/>
        <w:numPr>
          <w:ilvl w:val="0"/>
          <w:numId w:val="14"/>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3.5 nodaļas novērtējuma dabisko datu kritēriji izvērtē tikai mainīgo izvēles metožu vidējo efektivitāti. Ir iespējams veikt dziļāku analīzi atrodot maksimālas veiktspējas mainīgo kopas. Būtība dabisko datu eksperimentā tika ģenerētas hipotēzes par “labām” mainīgo kopa izmantojot mainīgo izvēles metodes. Šajā analīze tiek izvērtētas visas mainīgo kopas un </w:t>
      </w:r>
      <w:r>
        <w:rPr>
          <w:rFonts w:eastAsia="Times New Roman" w:cs="Times New Roman"/>
          <w:color w:val="auto"/>
          <w:kern w:val="0"/>
          <w:sz w:val="24"/>
          <w:szCs w:val="24"/>
          <w:lang w:val="lv-LV" w:eastAsia="en-US" w:bidi="ar-SA"/>
        </w:rPr>
        <w:t>izvēlēta</w:t>
      </w:r>
      <w:r>
        <w:rPr/>
        <w:t xml:space="preserve"> tikai tās mainīgo kopa kuras maksimizē modeļa veiktspēju, katrai datu kopai (“diabetes”, “crime”, “boston”, “ames_housing”, “wine”, “phishing”, “mushrooms”, “breast_cancer”) un visiem CART modeļiem (lēmumu koks, tālāk </w:t>
      </w:r>
      <w:r>
        <w:rPr>
          <w:rFonts w:eastAsia="Times New Roman" w:cs="Times New Roman"/>
          <w:color w:val="auto"/>
          <w:kern w:val="0"/>
          <w:sz w:val="24"/>
          <w:szCs w:val="24"/>
          <w:lang w:val="lv-LV" w:eastAsia="en-US" w:bidi="ar-SA"/>
        </w:rPr>
        <w:t>DT</w:t>
      </w:r>
      <w:r>
        <w:rPr/>
        <w:t xml:space="preserve">, lēmumu koku izlase tālāk RF, gradienta stiprinoša lēmumu koku izlase tālāk GBDT). </w:t>
      </w:r>
    </w:p>
    <w:p>
      <w:pPr>
        <w:pStyle w:val="Normal"/>
        <w:ind w:right="-1" w:hanging="0"/>
        <w:rPr/>
      </w:pPr>
      <w:r>
        <w:rPr/>
        <w:tab/>
        <w:t>Analīze var nest dziļākus ieskatus par sarežģītu modeļu (</w:t>
      </w:r>
      <w:r>
        <w:rPr>
          <w:rFonts w:eastAsia="Times New Roman" w:cs="Times New Roman"/>
          <w:color w:val="auto"/>
          <w:kern w:val="0"/>
          <w:sz w:val="24"/>
          <w:szCs w:val="24"/>
          <w:lang w:val="lv-LV" w:eastAsia="en-US" w:bidi="ar-SA"/>
        </w:rPr>
        <w:t>RF</w:t>
      </w:r>
      <w:r>
        <w:rPr/>
        <w:t xml:space="preserve">, </w:t>
      </w:r>
      <w:r>
        <w:rPr>
          <w:rFonts w:eastAsia="Times New Roman" w:cs="Times New Roman"/>
          <w:color w:val="auto"/>
          <w:kern w:val="0"/>
          <w:sz w:val="24"/>
          <w:szCs w:val="24"/>
          <w:lang w:val="lv-LV" w:eastAsia="en-US" w:bidi="ar-SA"/>
        </w:rPr>
        <w:t>GBDT</w:t>
      </w:r>
      <w:r>
        <w:rPr/>
        <w:t>) un vienkāršu modeļu (</w:t>
      </w:r>
      <w:r>
        <w:rPr>
          <w:rFonts w:eastAsia="Times New Roman" w:cs="Times New Roman"/>
          <w:color w:val="auto"/>
          <w:kern w:val="0"/>
          <w:sz w:val="24"/>
          <w:szCs w:val="24"/>
          <w:lang w:val="lv-LV" w:eastAsia="en-US" w:bidi="ar-SA"/>
        </w:rPr>
        <w:t>RF</w:t>
      </w:r>
      <w:r>
        <w:rPr/>
        <w:t xml:space="preserve">) veiktspējas paritāti (vienlīdzību). </w:t>
      </w:r>
      <w:r>
        <w:rPr>
          <w:rStyle w:val="Tojvnm2t"/>
          <w:rFonts w:eastAsia="Times New Roman" w:cs="Times New Roman"/>
          <w:b w:val="false"/>
          <w:bCs w:val="false"/>
          <w:color w:val="auto"/>
          <w:kern w:val="0"/>
          <w:sz w:val="24"/>
          <w:szCs w:val="24"/>
          <w:lang w:val="lv-LV" w:eastAsia="en-US" w:bidi="ar-SA"/>
        </w:rPr>
        <w:t>Tiks analizēts vai sarežģītus CART modeļus  ir iespējams aizvietot ar vienkāršiem CART modeļiem,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Fonts w:eastAsia="Times New Roman" w:cs="Times New Roman"/>
          <w:b w:val="false"/>
          <w:bCs w:val="false"/>
          <w:color w:val="auto"/>
          <w:kern w:val="0"/>
          <w:sz w:val="24"/>
          <w:szCs w:val="24"/>
          <w:lang w:val="lv-LV" w:eastAsia="en-US" w:bidi="ar-SA"/>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Attēlos 1.1 un 1.2 ir redzamas klasifikācijas/regresijas uzdevumu mainīgo kopas, kuras maksimizē modeļa veiktspēju</w:t>
      </w:r>
    </w:p>
    <w:p>
      <w:pPr>
        <w:pStyle w:val="Normal"/>
        <w:ind w:right="-1" w:hanging="0"/>
        <w:rPr/>
      </w:pPr>
      <w:r>
        <w:drawing>
          <wp:anchor behindDoc="0" distT="0" distB="0" distL="0" distR="0" simplePos="0" locked="0" layoutInCell="1" allowOverlap="1" relativeHeight="12">
            <wp:simplePos x="0" y="0"/>
            <wp:positionH relativeFrom="column">
              <wp:posOffset>0</wp:posOffset>
            </wp:positionH>
            <wp:positionV relativeFrom="paragraph">
              <wp:posOffset>79375</wp:posOffset>
            </wp:positionV>
            <wp:extent cx="5760085" cy="27285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kopas</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visu mainīgo kopas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RandomForestRegressor” vidējo kvadrātisko kļūdu samazināt par 6.24% no 2904.814 (2.904814e+03) uz 2734.083 (2.734083e+03). Šajā gadījumā maksimālas veiktspējas mainīgo kopa spēj nodrošināt labākus rezultātus nekā visu mainīgo kopa. Pretēji ir 1. rindas gadījuma (“dataset” – “diabetes”, “model” - “XGBRegressor”), maksimālas veiktspējas mainīgo kopa palielina vidēji kvadrātisko kļūdu par 8.06 procentiem, kas nozīmē, ka “XGBRegressor” datu kopā “diabetes” pielāgojas visu datu kopai tāda veidā, ka nav iespējams atmest nevienu mainīgo, nezaudejots modeļa veiktspēju.</w:t>
      </w:r>
      <w:r>
        <w:br w:type="page"/>
      </w:r>
    </w:p>
    <w:p>
      <w:pPr>
        <w:pStyle w:val="Normal"/>
        <w:ind w:right="-1" w:hanging="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085" cy="2520315"/>
            <wp:effectExtent l="0" t="0" r="0" b="0"/>
            <wp:wrapSquare wrapText="largest"/>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apskatīts nodaļā 3.3). Dažos gadījumos </w:t>
      </w:r>
      <w:r>
        <w:rPr>
          <w:rFonts w:eastAsia="Times New Roman" w:cs="Times New Roman"/>
          <w:color w:val="auto"/>
          <w:kern w:val="0"/>
          <w:sz w:val="24"/>
          <w:szCs w:val="24"/>
          <w:lang w:val="lv-LV" w:eastAsia="en-US" w:bidi="ar-SA"/>
        </w:rPr>
        <w:t xml:space="preserve">datu kopām un modeļiem pastāv vairākas mainīgo kopas, kas spēj nodrošināt modeļa maksimālu veiktspēju, piemēram, attēlā 1.2 datu kopai “mushroom” izmantojot modeli “RandomForestClassifier” ir 6 datu kopas kuras maksimizē modeļa veiktspēju, tas liecina par to, ka 1) “mushroom” datu kopa ir ļoti vienkārša 2) “mushroom” datu kopā eksistē mainīgie kuri ir savstarpēji līdzīgi/korelējoši. Klasifikācijas un regresijas maksimālās veiktspējas un visu mainīgo kopu rezultātus ir apkopoti attēlā 1.1 </w:t>
      </w:r>
    </w:p>
    <w:p>
      <w:pPr>
        <w:pStyle w:val="Normal"/>
        <w:ind w:right="-1" w:hanging="0"/>
        <w:rPr/>
      </w:pPr>
      <w:r>
        <w:rPr/>
        <w:drawing>
          <wp:anchor behindDoc="0" distT="0" distB="0" distL="0" distR="0" simplePos="0" locked="0" layoutInCell="1" allowOverlap="1" relativeHeight="20">
            <wp:simplePos x="0" y="0"/>
            <wp:positionH relativeFrom="column">
              <wp:posOffset>0</wp:posOffset>
            </wp:positionH>
            <wp:positionV relativeFrom="paragraph">
              <wp:posOffset>339090</wp:posOffset>
            </wp:positionV>
            <wp:extent cx="5760085" cy="192087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760085" cy="1920875"/>
                    </a:xfrm>
                    <a:prstGeom prst="rect">
                      <a:avLst/>
                    </a:prstGeom>
                  </pic:spPr>
                </pic:pic>
              </a:graphicData>
            </a:graphic>
          </wp:anchor>
        </w:drawing>
      </w:r>
    </w:p>
    <w:p>
      <w:pPr>
        <w:pStyle w:val="Normal"/>
        <w:ind w:hanging="0"/>
        <w:rPr/>
      </w:pPr>
      <w:r>
        <w:rPr>
          <w:rFonts w:eastAsia="Times New Roman" w:cs="Times New Roman"/>
          <w:color w:val="auto"/>
          <w:kern w:val="0"/>
          <w:sz w:val="24"/>
          <w:szCs w:val="24"/>
          <w:lang w:val="lv-LV" w:eastAsia="en-US" w:bidi="ar-SA"/>
        </w:rPr>
        <w:tab/>
        <w:t>Attēls 1.1 Maksimālas veiktspējas un pilnu mainīgo kopu modeļu kritērija vērtības</w:t>
      </w:r>
      <w:r>
        <w:br w:type="page"/>
      </w:r>
    </w:p>
    <w:p>
      <w:pPr>
        <w:pStyle w:val="Normal"/>
        <w:ind w:hanging="0"/>
        <w:rPr/>
      </w:pPr>
      <w:r>
        <w:rPr>
          <w:rFonts w:eastAsia="Times New Roman" w:cs="Times New Roman"/>
          <w:color w:val="auto"/>
          <w:kern w:val="0"/>
          <w:sz w:val="24"/>
          <w:szCs w:val="24"/>
          <w:lang w:val="lv-LV" w:eastAsia="en-US" w:bidi="ar-SA"/>
        </w:rPr>
        <w:tab/>
        <w:t>Attēlā 1.1 kolona “dataset” raksturo kura datu kopa tiek izmantota. Kolonas “DT(opt)”, “RF(opt)”, “GBDT(opt)” raksturo modeļus, kuri izmanto maksimālas veiktspējas mainīgo kopas. Kolonas “DT(all)”, “RF(all)”, “GBDT(all)” raksturo modeļus kuri izmanto visus mainīgos. Kolona “task” raksturo modelējamās datu kopas tipu (regresijas vai klasifikācijas), kolona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commentRangeStart w:id="26"/>
      <w:r>
        <w:rPr>
          <w:rFonts w:eastAsia="Times New Roman" w:cs="Times New Roman"/>
          <w:color w:val="auto"/>
          <w:kern w:val="0"/>
          <w:sz w:val="24"/>
          <w:szCs w:val="24"/>
          <w:lang w:val="lv-LV" w:eastAsia="en-US" w:bidi="ar-SA"/>
        </w:rPr>
        <w:tab/>
        <w:t>Analīze tiek veikta 3 veidos:</w:t>
      </w:r>
    </w:p>
    <w:p>
      <w:pPr>
        <w:pStyle w:val="Normal"/>
        <w:numPr>
          <w:ilvl w:val="0"/>
          <w:numId w:val="16"/>
        </w:numPr>
        <w:rPr/>
      </w:pPr>
      <w:r>
        <w:rPr/>
        <w:t>Veids 1: Salīdzināts v</w:t>
      </w:r>
      <w:r>
        <w:rPr>
          <w:rFonts w:eastAsia="Times New Roman" w:cs="Times New Roman"/>
          <w:color w:val="auto"/>
          <w:kern w:val="0"/>
          <w:sz w:val="24"/>
          <w:szCs w:val="24"/>
          <w:lang w:val="lv-LV" w:eastAsia="en-US" w:bidi="ar-SA"/>
        </w:rPr>
        <w:t>ienkāršs modelis ar visiem mainīgajiem un sarežģīts models ar visiem mainīgajiem</w:t>
      </w:r>
    </w:p>
    <w:p>
      <w:pPr>
        <w:pStyle w:val="Normal"/>
        <w:numPr>
          <w:ilvl w:val="0"/>
          <w:numId w:val="16"/>
        </w:numPr>
        <w:rPr/>
      </w:pPr>
      <w:r>
        <w:rPr/>
        <w:t xml:space="preserve">Veids 2: Salīdzināts vienkāršs modelis ar </w:t>
      </w:r>
      <w:r>
        <w:rPr>
          <w:rFonts w:eastAsia="Times New Roman" w:cs="Times New Roman"/>
          <w:color w:val="auto"/>
          <w:kern w:val="0"/>
          <w:sz w:val="24"/>
          <w:szCs w:val="24"/>
          <w:lang w:val="lv-LV" w:eastAsia="en-US" w:bidi="ar-SA"/>
        </w:rPr>
        <w:t xml:space="preserve">maksimālas veiktspējas </w:t>
      </w:r>
      <w:r>
        <w:rPr/>
        <w:t xml:space="preserve">mainīgo kopu </w:t>
      </w:r>
      <w:r>
        <w:rPr>
          <w:rFonts w:eastAsia="Times New Roman" w:cs="Times New Roman"/>
          <w:color w:val="auto"/>
          <w:kern w:val="0"/>
          <w:sz w:val="24"/>
          <w:szCs w:val="24"/>
          <w:lang w:val="lv-LV" w:eastAsia="en-US" w:bidi="ar-SA"/>
        </w:rPr>
        <w:t>un</w:t>
      </w:r>
      <w:r>
        <w:rPr/>
        <w:t xml:space="preserve"> sarežģītis modelis ar visiem mainīgajiem</w:t>
      </w:r>
    </w:p>
    <w:p>
      <w:pPr>
        <w:pStyle w:val="Normal"/>
        <w:numPr>
          <w:ilvl w:val="0"/>
          <w:numId w:val="16"/>
        </w:numPr>
        <w:rPr/>
      </w:pPr>
      <w:r>
        <w:rPr>
          <w:rFonts w:eastAsia="Times New Roman" w:cs="Times New Roman"/>
          <w:color w:val="auto"/>
          <w:kern w:val="0"/>
          <w:sz w:val="24"/>
          <w:szCs w:val="24"/>
          <w:lang w:val="lv-LV" w:eastAsia="en-US" w:bidi="ar-SA"/>
        </w:rPr>
        <w:t>Veids 3: Sarežģīts modelis ar maksimālas veiktspējas mainīgo kopu pret sarežģītu modeli ar visiem mainīgajiem</w:t>
      </w:r>
      <w:commentRangeEnd w:id="26"/>
      <w:r>
        <w:commentReference w:id="26"/>
      </w:r>
      <w:r>
        <w:rPr>
          <w:rFonts w:eastAsia="Times New Roman" w:cs="Times New Roman"/>
          <w:color w:val="auto"/>
          <w:kern w:val="0"/>
          <w:sz w:val="24"/>
          <w:szCs w:val="24"/>
          <w:lang w:val="lv-LV" w:eastAsia="en-US" w:bidi="ar-SA"/>
        </w:rPr>
      </w:r>
    </w:p>
    <w:p>
      <w:pPr>
        <w:pStyle w:val="Normal"/>
        <w:numPr>
          <w:ilvl w:val="0"/>
          <w:numId w:val="0"/>
        </w:numPr>
        <w:ind w:left="144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0" w:hanging="0"/>
        <w:rPr/>
      </w:pPr>
      <w:r>
        <w:rPr/>
        <w:t xml:space="preserve">Veids 1 raksturo vai ir iespējams </w:t>
      </w:r>
      <w:r>
        <w:rPr>
          <w:rFonts w:eastAsia="Times New Roman" w:cs="Times New Roman"/>
          <w:color w:val="auto"/>
          <w:kern w:val="0"/>
          <w:sz w:val="24"/>
          <w:szCs w:val="24"/>
          <w:lang w:val="lv-LV" w:eastAsia="en-US" w:bidi="ar-SA"/>
        </w:rPr>
        <w:t>sarežģītu</w:t>
      </w:r>
      <w:r>
        <w:rPr/>
        <w:t xml:space="preserve"> modeli aizvietot ar vienkāršu.</w:t>
      </w:r>
    </w:p>
    <w:p>
      <w:pPr>
        <w:pStyle w:val="Normal"/>
        <w:numPr>
          <w:ilvl w:val="0"/>
          <w:numId w:val="0"/>
        </w:numPr>
        <w:ind w:left="0" w:hanging="0"/>
        <w:rPr/>
      </w:pPr>
      <w:r>
        <w:rPr/>
        <w:t xml:space="preserve">Veids 2 raksturo vai ir iespējams </w:t>
      </w:r>
      <w:r>
        <w:rPr>
          <w:rFonts w:eastAsia="Times New Roman" w:cs="Times New Roman"/>
          <w:color w:val="auto"/>
          <w:kern w:val="0"/>
          <w:sz w:val="24"/>
          <w:szCs w:val="24"/>
          <w:lang w:val="lv-LV" w:eastAsia="en-US" w:bidi="ar-SA"/>
        </w:rPr>
        <w:t>sarežģītu</w:t>
      </w:r>
      <w:r>
        <w:rPr/>
        <w:t xml:space="preserve"> modeli aizvietot ar vienkāršu modeli kuram ir maksimālas veiktspējas mainīgie.</w:t>
      </w:r>
    </w:p>
    <w:p>
      <w:pPr>
        <w:pStyle w:val="Normal"/>
        <w:numPr>
          <w:ilvl w:val="0"/>
          <w:numId w:val="0"/>
        </w:numPr>
        <w:ind w:left="0" w:hanging="0"/>
        <w:rPr/>
      </w:pPr>
      <w:r>
        <w:rPr>
          <w:rFonts w:eastAsia="Times New Roman" w:cs="Times New Roman"/>
          <w:color w:val="auto"/>
          <w:kern w:val="0"/>
          <w:sz w:val="24"/>
          <w:szCs w:val="24"/>
          <w:lang w:val="lv-LV" w:eastAsia="en-US" w:bidi="ar-SA"/>
        </w:rPr>
        <w:t>Veids 3 raksturo vai ir iespējams sarežģītu modeli padarīt veiktspējīgaku un izskaidrojamāku ar mainīgo izvēles metožu palīdzību, izmantojot maksimālas veiktspējas mainīg kopu.</w:t>
      </w:r>
      <w:r>
        <w:br w:type="page"/>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2160" w:hanging="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222250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5760085" cy="2222500"/>
                    </a:xfrm>
                    <a:prstGeom prst="rect">
                      <a:avLst/>
                    </a:prstGeom>
                  </pic:spPr>
                </pic:pic>
              </a:graphicData>
            </a:graphic>
          </wp:anchor>
        </w:drawing>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b/>
        <w:tab/>
        <w:t>Attēls 1.2 Vienkāršu modeļu paritātes izvērtējums</w:t>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rPr/>
      </w:pPr>
      <w:r>
        <w:rPr>
          <w:lang w:val="lv-LV" w:eastAsia="en-US" w:bidi="ar-SA"/>
        </w:rPr>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rPr/>
      </w:pPr>
      <w:r>
        <w:rPr>
          <w:lang w:val="lv-LV" w:eastAsia="en-US" w:bidi="ar-SA"/>
        </w:rPr>
        <w:t xml:space="preserve">No attēlā 1.2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w:t>
      </w:r>
      <w:r>
        <w:rPr>
          <w:rFonts w:eastAsia="Times New Roman" w:cs="Times New Roman"/>
          <w:color w:val="auto"/>
          <w:kern w:val="0"/>
          <w:sz w:val="24"/>
          <w:szCs w:val="24"/>
          <w:lang w:val="lv-LV" w:eastAsia="en-US" w:bidi="ar-SA"/>
        </w:rPr>
        <w:t>mainīgo izvēles metodēm, otrkārt, vienkāršāka modeļa izmantošanu.</w:t>
      </w:r>
    </w:p>
    <w:p>
      <w:pPr>
        <w:pStyle w:val="Normal"/>
        <w:rPr/>
      </w:pPr>
      <w:r>
        <w:rPr>
          <w:rFonts w:eastAsia="Times New Roman" w:cs="Times New Roman"/>
          <w:color w:val="auto"/>
          <w:kern w:val="0"/>
          <w:sz w:val="24"/>
          <w:szCs w:val="24"/>
          <w:lang w:val="lv-LV" w:eastAsia="en-US" w:bidi="ar-SA"/>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ļoti smagi “soda” modeļa paredzējums kuriem ir liela atšķirība no realitātes. DT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modeļa mērķa modelēšana optimāli jāveic ar nepārtrauktu funkciju.</w:t>
      </w:r>
    </w:p>
    <w:p>
      <w:pPr>
        <w:pStyle w:val="Normal"/>
        <w:ind w:hanging="0"/>
        <w:rPr/>
      </w:pPr>
      <w:r>
        <w:rPr>
          <w:rFonts w:eastAsia="Times New Roman" w:cs="Times New Roman"/>
          <w:color w:val="auto"/>
          <w:kern w:val="0"/>
          <w:sz w:val="24"/>
          <w:szCs w:val="24"/>
          <w:lang w:val="lv-LV" w:eastAsia="en-US" w:bidi="ar-SA"/>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rFonts w:eastAsia="Times New Roman" w:cs="Times New Roman"/>
          <w:color w:val="auto"/>
          <w:kern w:val="0"/>
          <w:sz w:val="24"/>
          <w:szCs w:val="24"/>
          <w:lang w:val="lv-LV" w:eastAsia="en-US" w:bidi="ar-SA"/>
        </w:rPr>
        <w:tab/>
        <w:t>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un samazinātas sarežģītības vērta.</w:t>
      </w:r>
    </w:p>
    <w:p>
      <w:pPr>
        <w:pStyle w:val="Normal"/>
        <w:ind w:hanging="0"/>
        <w:rPr/>
      </w:pPr>
      <w:r>
        <w:rPr>
          <w:rFonts w:eastAsia="Times New Roman" w:cs="Times New Roman"/>
          <w:color w:val="auto"/>
          <w:kern w:val="0"/>
          <w:sz w:val="24"/>
          <w:szCs w:val="24"/>
          <w:lang w:val="lv-LV" w:eastAsia="en-US" w:bidi="ar-SA"/>
        </w:rPr>
        <w:tab/>
        <w:t>Tālāk tiks analizēts vai sarežģītu modeļu veiktspēju ir iespējams uzlabot ar mainīga izvēles metodēm. Attēlā 1.3 ir attēloti rezultāti salīdzinot lēmumu koku izlases “RF” un gradienta stiprinošas lēmumu koku izlases “GBDT” modeļus, izmantojot maksimālas veiktspējas (apzīmējums “(opt)”) un visu mainīgo kopu (apzīmējums “(all)”).</w:t>
      </w:r>
    </w:p>
    <w:p>
      <w:pPr>
        <w:pStyle w:val="Normal"/>
        <w:numPr>
          <w:ilvl w:val="0"/>
          <w:numId w:val="0"/>
        </w:numPr>
        <w:ind w:left="0" w:hanging="0"/>
        <w:rPr/>
      </w:pPr>
      <w:r>
        <w:drawing>
          <wp:anchor behindDoc="0" distT="0" distB="0" distL="0" distR="0" simplePos="0" locked="0" layoutInCell="1" allowOverlap="1" relativeHeight="22">
            <wp:simplePos x="0" y="0"/>
            <wp:positionH relativeFrom="column">
              <wp:posOffset>-47625</wp:posOffset>
            </wp:positionH>
            <wp:positionV relativeFrom="paragraph">
              <wp:posOffset>44450</wp:posOffset>
            </wp:positionV>
            <wp:extent cx="5760085" cy="319341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5760085" cy="3193415"/>
                    </a:xfrm>
                    <a:prstGeom prst="rect">
                      <a:avLst/>
                    </a:prstGeom>
                  </pic:spPr>
                </pic:pic>
              </a:graphicData>
            </a:graphic>
          </wp:anchor>
        </w:drawing>
      </w:r>
      <w:r>
        <w:rPr>
          <w:rFonts w:eastAsia="Times New Roman" w:cs="Times New Roman"/>
          <w:color w:val="auto"/>
          <w:kern w:val="0"/>
          <w:sz w:val="24"/>
          <w:szCs w:val="24"/>
          <w:lang w:val="lv-LV" w:eastAsia="en-US" w:bidi="ar-SA"/>
        </w:rPr>
        <w:t>A</w:t>
      </w:r>
      <w:r>
        <w:rPr>
          <w:rFonts w:eastAsia="Times New Roman" w:cs="Times New Roman"/>
          <w:color w:val="auto"/>
          <w:kern w:val="0"/>
          <w:sz w:val="24"/>
          <w:szCs w:val="24"/>
          <w:lang w:val="lv-LV" w:eastAsia="en-US" w:bidi="ar-SA"/>
        </w:rPr>
        <w:t>ttēls 1.3 Maksimālas veiktspējas un visu mainīgo kopu izvērtējums sarežģītiem modeļiem</w:t>
      </w:r>
    </w:p>
    <w:p>
      <w:pPr>
        <w:pStyle w:val="Normal"/>
        <w:ind w:hanging="0"/>
        <w:rPr>
          <w:rFonts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pPr>
      <w:r>
        <w:rPr>
          <w:rFonts w:eastAsia="Times New Roman" w:cs="Times New Roman"/>
          <w:color w:val="auto"/>
          <w:kern w:val="0"/>
          <w:sz w:val="24"/>
          <w:szCs w:val="24"/>
          <w:lang w:val="lv-LV" w:eastAsia="en-US" w:bidi="ar-SA"/>
        </w:rPr>
        <w:tab/>
        <w:t>No datiem var secināt, ka, gandrīz visos gadījumos, kad datu kopas modelēšanai izmantots sarežģīts modelis ir ieteicams izmantot mainīgo izvēles metodes un izvēlēties maksimālas veiktspējas mainīgo kopas. Mainīgo izvēles metodes spēj ne tikai uzlabot modeļa veiktspēju, bet arī ievērojami uzlabot izskaidrojamību. Raksturojot mašīnmācīšanās praktiķim kādi mainīgie ir svarīgi modelī.</w:t>
      </w:r>
      <w:r>
        <w:br w:type="page"/>
      </w:r>
    </w:p>
    <w:p>
      <w:pPr>
        <w:pStyle w:val="Heading2"/>
        <w:numPr>
          <w:ilvl w:val="1"/>
          <w:numId w:val="4"/>
        </w:numPr>
        <w:ind w:left="1296" w:right="-1" w:firstLine="720"/>
        <w:rPr/>
      </w:pPr>
      <w:bookmarkStart w:id="46" w:name="__RefHeading___Toc20984_3223782490"/>
      <w:bookmarkEnd w:id="46"/>
      <w:r>
        <w:rPr>
          <w:rFonts w:eastAsia="Times New Roman" w:cs="Arial"/>
          <w:b/>
          <w:bCs/>
          <w:iCs/>
          <w:color w:val="auto"/>
          <w:kern w:val="0"/>
          <w:sz w:val="28"/>
          <w:szCs w:val="28"/>
          <w:lang w:val="lv-LV" w:eastAsia="en-US" w:bidi="ar-SA"/>
        </w:rPr>
        <w:t>Additional content under consideration (don’t read this)</w:t>
      </w:r>
    </w:p>
    <w:p>
      <w:pPr>
        <w:pStyle w:val="Normal"/>
        <w:numPr>
          <w:ilvl w:val="0"/>
          <w:numId w:val="0"/>
        </w:numPr>
        <w:ind w:left="1296" w:hanging="0"/>
        <w:rPr/>
      </w:pPr>
      <w:r>
        <w:rPr/>
        <w:t>Koalīciju analīze 80% (case3_regr)</w:t>
      </w:r>
    </w:p>
    <w:p>
      <w:pPr>
        <w:pStyle w:val="Normal"/>
        <w:ind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067425" cy="248031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2237105"/>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16">
            <wp:simplePos x="0" y="0"/>
            <wp:positionH relativeFrom="column">
              <wp:posOffset>0</wp:posOffset>
            </wp:positionH>
            <wp:positionV relativeFrom="paragraph">
              <wp:posOffset>698500</wp:posOffset>
            </wp:positionV>
            <wp:extent cx="5760085" cy="27285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2520315"/>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18">
            <wp:simplePos x="0" y="0"/>
            <wp:positionH relativeFrom="column">
              <wp:posOffset>0</wp:posOffset>
            </wp:positionH>
            <wp:positionV relativeFrom="paragraph">
              <wp:posOffset>428625</wp:posOffset>
            </wp:positionV>
            <wp:extent cx="5760085" cy="2640965"/>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180213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2"/>
        </w:numPr>
        <w:rPr/>
      </w:pPr>
      <w:bookmarkStart w:id="47" w:name="__RefHeading___Toc20986_3223782490"/>
      <w:bookmarkEnd w:id="47"/>
      <w:r>
        <w:rPr/>
        <w:t>Secinājumi</w:t>
      </w:r>
    </w:p>
    <w:p>
      <w:pPr>
        <w:pStyle w:val="Normal"/>
        <w:rPr/>
      </w:pPr>
      <w:r>
        <w:rPr/>
        <w:t>Balstoties uz kritēriju vidējā rangu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Klasifikācijas datiem ir ieteicams reducēt sarežģītību vispirms izmantojot mainīga izvēles metodes un pēc tam izvēloties vienkāršu CART modeli (izmantojot vienkāršu modeli netiek ietekmēta veiktspēja, izmantojot mainīgo izvēles metodes ir iespējams iegūt palielinātu izskaidrojamību nezaudējot veiktspēju)</w:t>
      </w:r>
    </w:p>
    <w:p>
      <w:pPr>
        <w:pStyle w:val="Normal"/>
        <w:ind w:hanging="0"/>
        <w:rPr/>
      </w:pPr>
      <w:r>
        <w:rPr/>
      </w:r>
    </w:p>
    <w:p>
      <w:pPr>
        <w:pStyle w:val="Normal"/>
        <w:ind w:hanging="0"/>
        <w:rPr/>
      </w:pPr>
      <w:r>
        <w:rPr/>
        <w:tab/>
        <w:t>Regresijas datiem ir ieteicams modeļu reducēt sarežģītību, izmantojot mainīgo izvēles metodes un izmantojot sarežģītu CART modeli (izvēloties vienkāršu modeli ir ievērojams veiktspējas zaudējums</w:t>
      </w:r>
    </w:p>
    <w:p>
      <w:pPr>
        <w:pStyle w:val="Normal"/>
        <w:ind w:hanging="0"/>
        <w:rPr/>
      </w:pPr>
      <w:r>
        <w:rPr/>
        <w:tab/>
      </w:r>
    </w:p>
    <w:p>
      <w:pPr>
        <w:pStyle w:val="Normal"/>
        <w:ind w:hanging="0"/>
        <w:rPr/>
      </w:pPr>
      <w:r>
        <w:rPr/>
        <w:tab/>
      </w:r>
      <w:r>
        <w:rPr>
          <w:rFonts w:eastAsia="Times New Roman" w:cs="Times New Roman"/>
          <w:color w:val="auto"/>
          <w:kern w:val="0"/>
          <w:sz w:val="24"/>
          <w:szCs w:val="24"/>
          <w:lang w:val="lv-LV" w:eastAsia="en-US" w:bidi="ar-SA"/>
        </w:rPr>
        <w:t xml:space="preserve">Sarežģītu modeļu </w:t>
      </w:r>
      <w:r>
        <w:rPr/>
        <w:t>maksimālas veiktspējas nodrošināsanai nepieciešams izmantot mainīga izvēles metodes, praktiski visās apskatītajās datu kopās ir lieki mainīgie, kuri mazina modeļa veiktspēju.</w:t>
      </w:r>
      <w:r>
        <w:br w:type="page"/>
      </w:r>
    </w:p>
    <w:p>
      <w:pPr>
        <w:pStyle w:val="Avirsraksts1beznum"/>
        <w:ind w:left="1151" w:right="-1" w:hanging="431"/>
        <w:rPr/>
      </w:pPr>
      <w:bookmarkStart w:id="48" w:name="_Toc3182031991"/>
      <w:bookmarkStart w:id="49" w:name="_Toc3417925691"/>
      <w:bookmarkStart w:id="50" w:name="_Toc3224651491"/>
      <w:bookmarkStart w:id="51" w:name="_Toc3182033471"/>
      <w:bookmarkStart w:id="52" w:name="_Toc3182076011"/>
      <w:r>
        <w:rPr/>
        <w:t>Literatūr</w:t>
      </w:r>
      <w:bookmarkEnd w:id="48"/>
      <w:bookmarkEnd w:id="49"/>
      <w:bookmarkEnd w:id="50"/>
      <w:bookmarkEnd w:id="51"/>
      <w:bookmarkEnd w:id="52"/>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i w:val="false"/>
          <w:iCs w:val="false"/>
        </w:rPr>
        <w:t xml:space="preserve">Kursa, M. and W. Rudnicki. </w:t>
      </w:r>
      <w:r>
        <w:rPr>
          <w:rStyle w:val="Quotation"/>
        </w:rPr>
        <w:t>“</w:t>
      </w:r>
      <w:r>
        <w:rPr>
          <w:rStyle w:val="Quotation"/>
          <w:i w:val="false"/>
          <w:iCs w:val="false"/>
        </w:rPr>
        <w:t>Feature Selection with the Boruta Package.</w:t>
      </w:r>
      <w:r>
        <w:rPr>
          <w:rStyle w:val="Quotation"/>
        </w:rPr>
        <w:t xml:space="preserve">” </w:t>
      </w:r>
      <w:r>
        <w:rPr>
          <w:rStyle w:val="Emphasis"/>
          <w:i w:val="false"/>
          <w:iCs w:val="false"/>
        </w:rPr>
        <w:t>J</w:t>
      </w:r>
      <w:r>
        <w:rPr>
          <w:rStyle w:val="Emphasis"/>
          <w:i/>
          <w:iCs/>
        </w:rPr>
        <w:t>ournal of Statistical Software</w:t>
      </w:r>
      <w:r>
        <w:rPr>
          <w:rStyle w:val="Quotation"/>
          <w:i/>
          <w:iCs/>
        </w:rPr>
        <w:t xml:space="preserve"> </w:t>
      </w:r>
      <w:r>
        <w:rPr>
          <w:rStyle w:val="Quotation"/>
          <w:i w:val="false"/>
          <w:iCs w:val="false"/>
        </w:rPr>
        <w:t>36 (2010): 1-13.</w:t>
      </w:r>
    </w:p>
    <w:p>
      <w:pPr>
        <w:pStyle w:val="References"/>
        <w:rPr/>
      </w:pPr>
      <w:r>
        <w:rPr>
          <w:rStyle w:val="Quotation"/>
          <w:i w:val="false"/>
          <w:iCs w:val="false"/>
        </w:rPr>
        <w:t xml:space="preserve">Breiman, L. et al. </w:t>
      </w:r>
      <w:r>
        <w:rPr>
          <w:rStyle w:val="Quotation"/>
        </w:rPr>
        <w:t>“</w:t>
      </w:r>
      <w:r>
        <w:rPr>
          <w:rStyle w:val="Quotation"/>
          <w:i w:val="false"/>
          <w:iCs w:val="false"/>
        </w:rPr>
        <w:t>Classification and Regression Trees.”</w:t>
      </w:r>
      <w:r>
        <w:rPr>
          <w:rStyle w:val="Quotation"/>
        </w:rPr>
        <w:t xml:space="preserve"> </w:t>
      </w:r>
      <w:r>
        <w:rPr>
          <w:rStyle w:val="Quotation"/>
          <w:i w:val="false"/>
          <w:iCs w:val="false"/>
        </w:rPr>
        <w:t>(1983).</w:t>
      </w:r>
    </w:p>
    <w:p>
      <w:pPr>
        <w:pStyle w:val="References"/>
        <w:rPr/>
      </w:pPr>
      <w:r>
        <w:rPr>
          <w:rStyle w:val="Quotation"/>
          <w:i w:val="false"/>
          <w:iCs w:val="false"/>
        </w:rPr>
        <w:t>Confalonieri, R. et al. “A historical perspective of explainable Artificial Intelligence.” Wiley Interdisciplinary Reviews: Data Mining and Knowledge Discovery 11, (2021).</w:t>
      </w:r>
    </w:p>
    <w:p>
      <w:pPr>
        <w:pStyle w:val="References"/>
        <w:rPr/>
      </w:pPr>
      <w:r>
        <w:rPr>
          <w:rStyle w:val="Quotation"/>
          <w:i w:val="false"/>
          <w:iCs w:val="false"/>
          <w:szCs w:val="22"/>
        </w:rPr>
        <w:t xml:space="preserve">Doshi-Velez, F., &amp; Kim, B. (2017). Towards A Rigorous Science of Interpretable </w:t>
      </w:r>
      <w:r>
        <w:rPr>
          <w:rStyle w:val="Quotation"/>
          <w:i/>
          <w:iCs/>
          <w:szCs w:val="22"/>
        </w:rPr>
        <w:t>MachineLearning.arXiv: Machine Learning.</w:t>
      </w:r>
    </w:p>
    <w:p>
      <w:pPr>
        <w:pStyle w:val="References"/>
        <w:rPr/>
      </w:pPr>
      <w:r>
        <w:rPr>
          <w:rStyle w:val="Quotation"/>
          <w:i w:val="false"/>
          <w:iCs w:val="false"/>
        </w:rPr>
        <w:t xml:space="preserve">EU General Data Protection Regulation (GDPR): Regulation (EU) 2016/679 of the European Parliament and of the Council of 27 April 2016, </w:t>
      </w:r>
      <w:r>
        <w:rPr>
          <w:rStyle w:val="Quotation"/>
          <w:i/>
          <w:iCs/>
        </w:rPr>
        <w:t>OJ 2016 L 119/1</w:t>
      </w:r>
      <w:r>
        <w:rPr>
          <w:rStyle w:val="Quotation"/>
          <w:i w:val="false"/>
          <w:iCs w:val="false"/>
        </w:rPr>
        <w:t>, Pieejams: https://eur-lex.europa.eu/eli/reg/2016/679/oj</w:t>
      </w:r>
    </w:p>
    <w:p>
      <w:pPr>
        <w:pStyle w:val="References"/>
        <w:rPr/>
      </w:pPr>
      <w:r>
        <w:rPr>
          <w:rStyle w:val="Quotation"/>
          <w:i w:val="false"/>
          <w:iCs w:val="false"/>
        </w:rPr>
        <w:t>Buchanan, B. and E. Shortliffe. “Rule Based Expert Systems: The Mycin Experiments of the Stanford Heuristic Programming Project (The Addison-Wesley series in artificial intelligence).” (1984).</w:t>
      </w:r>
    </w:p>
    <w:p>
      <w:pPr>
        <w:pStyle w:val="References"/>
        <w:rPr/>
      </w:pPr>
      <w:r>
        <w:rPr>
          <w:rStyle w:val="Quotation"/>
          <w:i w:val="false"/>
          <w:iCs w:val="false"/>
        </w:rPr>
        <w:t xml:space="preserve">Wick, Michael R. and W. B. Thompson. “Reconstructive Expert System Explanation.” </w:t>
      </w:r>
      <w:r>
        <w:rPr>
          <w:rStyle w:val="Quotation"/>
          <w:i/>
          <w:iCs/>
        </w:rPr>
        <w:t xml:space="preserve">Artif. Intell. </w:t>
      </w:r>
      <w:r>
        <w:rPr>
          <w:rStyle w:val="Quotation"/>
          <w:i w:val="false"/>
          <w:iCs w:val="false"/>
        </w:rPr>
        <w:t>54 (1992): 33-70.</w:t>
      </w:r>
    </w:p>
    <w:p>
      <w:pPr>
        <w:pStyle w:val="References"/>
        <w:rPr/>
      </w:pPr>
      <w:r>
        <w:rPr>
          <w:rStyle w:val="Quotation"/>
          <w:i w:val="false"/>
          <w:iCs w:val="false"/>
        </w:rPr>
        <w:t xml:space="preserve">Miller, T.. “Explanation in Artificial Intelligence: Insights from the Social Sciences.” </w:t>
      </w:r>
      <w:r>
        <w:rPr>
          <w:rStyle w:val="Quotation"/>
          <w:i/>
          <w:iCs/>
        </w:rPr>
        <w:t xml:space="preserve">Artif. Intell. </w:t>
      </w:r>
      <w:r>
        <w:rPr>
          <w:rStyle w:val="Quotation"/>
          <w:i w:val="false"/>
          <w:iCs w:val="false"/>
        </w:rPr>
        <w:t>267 (2019): 1-38.</w:t>
      </w:r>
    </w:p>
    <w:p>
      <w:pPr>
        <w:pStyle w:val="References"/>
        <w:rPr/>
      </w:pPr>
      <w:r>
        <w:rPr>
          <w:rStyle w:val="Quotation"/>
          <w:i w:val="false"/>
          <w:iCs w:val="false"/>
        </w:rPr>
        <w:t xml:space="preserve">Molnar, Christoph. "Interpretable machine learning. A Guide for Making Black Box Models Explainable", 2019.  </w:t>
      </w:r>
      <w:r>
        <w:rPr>
          <w:rStyle w:val="Quotation"/>
          <w:i w:val="false"/>
          <w:iCs w:val="false"/>
        </w:rPr>
        <w:t xml:space="preserve">Pieejams: </w:t>
      </w:r>
      <w:r>
        <w:rPr>
          <w:rStyle w:val="Quotation"/>
          <w:i w:val="false"/>
          <w:iCs w:val="false"/>
        </w:rPr>
        <w:t>https://christophm.github.io/interpretable-ml-book/.</w:t>
      </w:r>
    </w:p>
    <w:p>
      <w:pPr>
        <w:pStyle w:val="References"/>
        <w:rPr/>
      </w:pPr>
      <w:r>
        <w:rPr>
          <w:rStyle w:val="Quotation"/>
          <w:i w:val="false"/>
          <w:iCs w:val="false"/>
        </w:rPr>
        <w:t xml:space="preserve">Guthke, Anneli. “Defensible Model Complexity: A Call for Data-Based and Goal-Oriented Model Choice.” </w:t>
      </w:r>
      <w:r>
        <w:rPr>
          <w:rStyle w:val="Quotation"/>
          <w:i/>
          <w:iCs/>
        </w:rPr>
        <w:t xml:space="preserve">Ground water </w:t>
      </w:r>
      <w:r>
        <w:rPr>
          <w:rStyle w:val="Quotation"/>
          <w:i w:val="false"/>
          <w:iCs w:val="false"/>
        </w:rPr>
        <w:t>555 (2017): 646-650.</w:t>
      </w:r>
    </w:p>
    <w:p>
      <w:pPr>
        <w:pStyle w:val="References"/>
        <w:rPr/>
      </w:pPr>
      <w:r>
        <w:rPr>
          <w:rStyle w:val="Quotation"/>
          <w:i w:val="false"/>
          <w:iCs w:val="false"/>
        </w:rPr>
        <w:t xml:space="preserve">Prokopenko, M. et al. “An information-theoretic primer on complexity, self-organization, and emergence.” </w:t>
      </w:r>
      <w:r>
        <w:rPr>
          <w:rStyle w:val="Quotation"/>
          <w:i/>
          <w:iCs/>
        </w:rPr>
        <w:t>Complexity 15</w:t>
      </w:r>
      <w:r>
        <w:rPr>
          <w:rStyle w:val="Quotation"/>
          <w:i w:val="false"/>
          <w:iCs w:val="false"/>
        </w:rPr>
        <w:t xml:space="preserve"> (2009): 11-28.</w:t>
      </w:r>
    </w:p>
    <w:p>
      <w:pPr>
        <w:pStyle w:val="References"/>
        <w:rPr/>
      </w:pPr>
      <w:bookmarkStart w:id="53" w:name="wrcr23140-cit-0091"/>
      <w:bookmarkEnd w:id="53"/>
      <w:r>
        <w:rPr>
          <w:rStyle w:val="Quotation"/>
          <w:i w:val="false"/>
          <w:iCs w:val="false"/>
        </w:rPr>
        <w:t xml:space="preserve">Perrin, C., Michel, C., &amp; Andréassian, V. (2001). Does a large number of parameters enhance model performance? Comparative assessment of common catchment model structures on 429 catchments. </w:t>
      </w:r>
      <w:r>
        <w:rPr>
          <w:rStyle w:val="Quotation"/>
          <w:i/>
          <w:iCs/>
        </w:rPr>
        <w:t>Journal of Hydrology</w:t>
      </w:r>
      <w:r>
        <w:rPr>
          <w:rStyle w:val="Quotation"/>
          <w:i w:val="false"/>
          <w:iCs w:val="false"/>
        </w:rPr>
        <w:t xml:space="preserve">, 242(3), 275–301. </w:t>
      </w:r>
    </w:p>
    <w:p>
      <w:pPr>
        <w:pStyle w:val="References"/>
        <w:rPr/>
      </w:pPr>
      <w:bookmarkStart w:id="54" w:name="wrcr23140-cit-0082"/>
      <w:bookmarkEnd w:id="54"/>
      <w:r>
        <w:rPr>
          <w:rStyle w:val="Quotation"/>
          <w:i w:val="false"/>
          <w:iCs w:val="false"/>
        </w:rPr>
        <w:t xml:space="preserve">Myung, I. J. (2000). The importance of complexity in model selection. </w:t>
      </w:r>
      <w:r>
        <w:rPr>
          <w:rStyle w:val="Quotation"/>
          <w:i/>
          <w:iCs/>
        </w:rPr>
        <w:t>Journal of Mathematical Psychology</w:t>
      </w:r>
      <w:r>
        <w:rPr>
          <w:rStyle w:val="Quotation"/>
          <w:i w:val="false"/>
          <w:iCs w:val="false"/>
        </w:rPr>
        <w:t>, 44(1), 190–204.</w:t>
      </w:r>
    </w:p>
    <w:p>
      <w:pPr>
        <w:pStyle w:val="References"/>
        <w:rPr/>
      </w:pPr>
      <w:r>
        <w:rPr>
          <w:rStyle w:val="Quotation"/>
          <w:i w:val="false"/>
          <w:iCs w:val="false"/>
        </w:rPr>
        <w:t xml:space="preserve">Mendoza, P. A. et al. “Are we unnecessarily constraining the agility of complex process-based models?” </w:t>
      </w:r>
      <w:r>
        <w:rPr>
          <w:rStyle w:val="Quotation"/>
          <w:i/>
          <w:iCs/>
        </w:rPr>
        <w:t xml:space="preserve">Water Resources Research </w:t>
      </w:r>
      <w:r>
        <w:rPr>
          <w:rStyle w:val="Quotation"/>
          <w:i w:val="false"/>
          <w:iCs w:val="false"/>
        </w:rPr>
        <w:t>51 (2015): 716-728.</w:t>
      </w:r>
    </w:p>
    <w:p>
      <w:pPr>
        <w:pStyle w:val="References"/>
        <w:rPr/>
      </w:pPr>
      <w:r>
        <w:rPr>
          <w:rStyle w:val="Quotation"/>
          <w:i w:val="false"/>
          <w:iCs w:val="false"/>
        </w:rPr>
        <w:t xml:space="preserve">D'Amour, A. et al. “Underspecification Presents Challenges for Credibility in Modern Machine Learning.” </w:t>
      </w:r>
      <w:r>
        <w:rPr>
          <w:rStyle w:val="Quotation"/>
          <w:i/>
          <w:iCs/>
        </w:rPr>
        <w:t xml:space="preserve">ArXiv </w:t>
      </w:r>
      <w:r>
        <w:rPr>
          <w:rStyle w:val="Quotation"/>
          <w:i w:val="false"/>
          <w:iCs w:val="false"/>
        </w:rPr>
        <w:t>abs/2011.03395 (2020).</w:t>
      </w:r>
    </w:p>
    <w:p>
      <w:pPr>
        <w:pStyle w:val="References"/>
        <w:rPr/>
      </w:pPr>
      <w:r>
        <w:rPr>
          <w:rStyle w:val="Quotation"/>
          <w:i w:val="false"/>
          <w:iCs w:val="false"/>
        </w:rPr>
        <w:t>Goodhart, C.. “Monetary Theory and Practice.” (1984).</w:t>
      </w:r>
    </w:p>
    <w:p>
      <w:pPr>
        <w:pStyle w:val="References"/>
        <w:rPr/>
      </w:pPr>
      <w:bookmarkStart w:id="55" w:name="CITEREFStrathern19971"/>
      <w:bookmarkEnd w:id="55"/>
      <w:r>
        <w:rPr>
          <w:rStyle w:val="Quotation"/>
          <w:i w:val="false"/>
          <w:iCs w:val="false"/>
        </w:rPr>
        <w:t xml:space="preserve">Strathern, Marilyn (1997). "'Improving ratings': audit in the British University system". </w:t>
      </w:r>
      <w:r>
        <w:rPr>
          <w:rStyle w:val="Quotation"/>
          <w:i/>
          <w:iCs/>
        </w:rPr>
        <w:t xml:space="preserve">European Review. </w:t>
      </w:r>
      <w:r>
        <w:rPr>
          <w:rStyle w:val="Quotation"/>
          <w:i w:val="false"/>
          <w:iCs w:val="false"/>
        </w:rPr>
        <w:t xml:space="preserve">John Wiley &amp; Sons. 5 (3): 305–321. </w:t>
      </w:r>
    </w:p>
    <w:p>
      <w:pPr>
        <w:pStyle w:val="References"/>
        <w:rPr/>
      </w:pPr>
      <w:r>
        <w:rPr>
          <w:rStyle w:val="Quotation"/>
          <w:i w:val="false"/>
          <w:iCs w:val="false"/>
        </w:rPr>
        <w:t xml:space="preserve">Manheim, David and Scott Garrabrant. “Categorizing Variants of Goodhart's Law.” </w:t>
      </w:r>
      <w:r>
        <w:rPr>
          <w:rStyle w:val="Quotation"/>
          <w:i/>
          <w:iCs/>
        </w:rPr>
        <w:t xml:space="preserve">ArXiv </w:t>
      </w:r>
      <w:r>
        <w:rPr>
          <w:rStyle w:val="Quotation"/>
          <w:i w:val="false"/>
          <w:iCs w:val="false"/>
        </w:rPr>
        <w:t>abs/1803.04585</w:t>
      </w:r>
      <w:r>
        <w:rPr>
          <w:rStyle w:val="Quotation"/>
          <w:i/>
          <w:iCs/>
        </w:rPr>
        <w:t xml:space="preserve"> </w:t>
      </w:r>
      <w:r>
        <w:rPr>
          <w:rStyle w:val="Quotation"/>
          <w:i w:val="false"/>
          <w:iCs w:val="false"/>
        </w:rPr>
        <w:t>(2018)</w:t>
      </w:r>
    </w:p>
    <w:p>
      <w:pPr>
        <w:pStyle w:val="References"/>
        <w:rPr/>
      </w:pPr>
      <w:r>
        <w:rPr>
          <w:rStyle w:val="Quotation"/>
          <w:i w:val="false"/>
          <w:iCs w:val="false"/>
        </w:rPr>
        <w:t xml:space="preserve">Tukey, J.. “Exploratory data analysis.” </w:t>
      </w:r>
      <w:r>
        <w:rPr>
          <w:rStyle w:val="Quotation"/>
          <w:i/>
          <w:iCs/>
        </w:rPr>
        <w:t>Addison-Wesley series in behavioral science : quantitative methods</w:t>
      </w:r>
      <w:r>
        <w:rPr>
          <w:rStyle w:val="Quotation"/>
          <w:i w:val="false"/>
          <w:iCs w:val="false"/>
        </w:rPr>
        <w:t xml:space="preserve"> (1977).</w:t>
      </w:r>
    </w:p>
    <w:p>
      <w:pPr>
        <w:pStyle w:val="References"/>
        <w:rPr/>
      </w:pPr>
      <w:r>
        <w:rPr>
          <w:rStyle w:val="Quotation"/>
          <w:i w:val="false"/>
          <w:iCs w:val="false"/>
        </w:rPr>
        <w:t xml:space="preserve">Simpson, E.. “The Interpretation of Interaction in Contingency Tables.” </w:t>
      </w:r>
      <w:r>
        <w:rPr>
          <w:rStyle w:val="Quotation"/>
          <w:i/>
          <w:iCs/>
        </w:rPr>
        <w:t>Journal of the royal statistical society series b-methodological 13</w:t>
      </w:r>
      <w:r>
        <w:rPr>
          <w:rStyle w:val="Quotation"/>
          <w:i w:val="false"/>
          <w:iCs w:val="false"/>
        </w:rPr>
        <w:t xml:space="preserve"> (1951): 238-241.</w:t>
      </w:r>
    </w:p>
    <w:p>
      <w:pPr>
        <w:pStyle w:val="References"/>
        <w:rPr/>
      </w:pPr>
      <w:r>
        <w:rPr>
          <w:rStyle w:val="Quotation"/>
          <w:i w:val="false"/>
          <w:iCs w:val="false"/>
        </w:rPr>
        <w:t xml:space="preserve">Miller, G. A.. “The magical number seven plus or minus two: some limits on our capacity for processing information.” </w:t>
      </w:r>
      <w:r>
        <w:rPr>
          <w:rStyle w:val="Quotation"/>
          <w:i/>
          <w:iCs/>
        </w:rPr>
        <w:t>Psychological review</w:t>
      </w:r>
      <w:r>
        <w:rPr>
          <w:rStyle w:val="Quotation"/>
          <w:i w:val="false"/>
          <w:iCs w:val="false"/>
        </w:rPr>
        <w:t xml:space="preserve"> 63 2 (1956): 81-97.</w:t>
      </w:r>
    </w:p>
    <w:p>
      <w:pPr>
        <w:pStyle w:val="References"/>
        <w:rPr/>
      </w:pPr>
      <w:r>
        <w:rPr>
          <w:rStyle w:val="Quotation"/>
          <w:i w:val="false"/>
          <w:iCs w:val="false"/>
        </w:rPr>
        <w:t xml:space="preserve">Angwin J, Larson J, Mattu S, Kirchner L. “Machine Bias” </w:t>
      </w:r>
      <w:r>
        <w:rPr>
          <w:rStyle w:val="Quotation"/>
          <w:i/>
          <w:iCs/>
        </w:rPr>
        <w:t>ProPublica</w:t>
      </w:r>
      <w:r>
        <w:rPr>
          <w:rStyle w:val="Quotation"/>
          <w:i w:val="false"/>
          <w:iCs w:val="false"/>
        </w:rPr>
        <w:t>; 2016. Pieejams: https://www.propublica.org/article/machine-bias-risk-assessments-in-criminal-sentencing</w:t>
      </w:r>
    </w:p>
    <w:p>
      <w:pPr>
        <w:pStyle w:val="References"/>
        <w:rPr/>
      </w:pPr>
      <w:r>
        <w:rPr>
          <w:rStyle w:val="Quotation"/>
          <w:i w:val="false"/>
          <w:iCs w:val="false"/>
        </w:rPr>
        <w:t xml:space="preserve">Rudin, C. et al. “The age of secrecy and unfairness in recidivism prediction.” </w:t>
      </w:r>
      <w:r>
        <w:rPr>
          <w:rStyle w:val="Quotation"/>
          <w:i/>
          <w:iCs/>
        </w:rPr>
        <w:t>ArXiv</w:t>
      </w:r>
      <w:r>
        <w:rPr>
          <w:rStyle w:val="Quotation"/>
          <w:i w:val="false"/>
          <w:iCs w:val="false"/>
        </w:rPr>
        <w:t xml:space="preserve"> abs/1811.00731 (2018a).</w:t>
      </w:r>
    </w:p>
    <w:p>
      <w:pPr>
        <w:pStyle w:val="References"/>
        <w:rPr/>
      </w:pPr>
      <w:r>
        <w:rPr>
          <w:rStyle w:val="Quotation"/>
          <w:i w:val="false"/>
          <w:iCs w:val="false"/>
        </w:rPr>
        <w:t xml:space="preserve">Rudin, C.. “Stop explaining black box machine learning models for high stakes decisions and use interpretable models instead.” </w:t>
      </w:r>
      <w:r>
        <w:rPr>
          <w:rStyle w:val="Quotation"/>
          <w:i/>
          <w:iCs/>
        </w:rPr>
        <w:t>Nature Machine Intelligence</w:t>
      </w:r>
      <w:r>
        <w:rPr>
          <w:rStyle w:val="Quotation"/>
          <w:i w:val="false"/>
          <w:iCs w:val="false"/>
        </w:rPr>
        <w:t xml:space="preserve"> 1 (2018b): 206-215.</w:t>
      </w:r>
    </w:p>
    <w:p>
      <w:pPr>
        <w:pStyle w:val="References"/>
        <w:rPr/>
      </w:pPr>
      <w:r>
        <w:rPr>
          <w:rStyle w:val="Quotation"/>
          <w:i w:val="false"/>
          <w:iCs w:val="false"/>
        </w:rPr>
        <w:t xml:space="preserve">Angelino, E. et al. “Learning Certifiably Optimal Rule Lists for Categorical Data.” </w:t>
      </w:r>
      <w:r>
        <w:rPr>
          <w:rStyle w:val="Quotation"/>
          <w:i/>
          <w:iCs/>
        </w:rPr>
        <w:t xml:space="preserve">J. Mach. Learn. Res. </w:t>
      </w:r>
      <w:r>
        <w:rPr>
          <w:rStyle w:val="Quotation"/>
          <w:i w:val="false"/>
          <w:iCs w:val="false"/>
        </w:rPr>
        <w:t>18 (2017): 234:1-234:78.</w:t>
      </w:r>
    </w:p>
    <w:p>
      <w:pPr>
        <w:pStyle w:val="References"/>
        <w:rPr/>
      </w:pPr>
      <w:r>
        <w:rPr>
          <w:rStyle w:val="Quotation"/>
          <w:i w:val="false"/>
          <w:iCs w:val="false"/>
        </w:rPr>
        <w:t>Hastie, T. et al. “The Elements of Statistical Learning: Data Mining, Inference, and Prediction, 2nd Edition.” Springer Series in Statistics (2009).</w:t>
      </w:r>
    </w:p>
    <w:p>
      <w:pPr>
        <w:pStyle w:val="References"/>
        <w:rPr/>
      </w:pPr>
      <w:r>
        <w:rPr>
          <w:rStyle w:val="Quotation"/>
          <w:i w:val="false"/>
          <w:iCs w:val="false"/>
        </w:rPr>
        <w:t xml:space="preserve">Breiman, L. “Random Forests.” </w:t>
      </w:r>
      <w:r>
        <w:rPr>
          <w:rStyle w:val="Quotation"/>
          <w:i/>
          <w:iCs/>
        </w:rPr>
        <w:t>Machine Learni</w:t>
      </w:r>
      <w:r>
        <w:rPr>
          <w:rStyle w:val="Quotation"/>
          <w:i/>
          <w:iCs/>
        </w:rPr>
        <w:t>va</w:t>
      </w:r>
      <w:r>
        <w:rPr>
          <w:rStyle w:val="Quotation"/>
          <w:i/>
          <w:iCs/>
        </w:rPr>
        <w:t>ng</w:t>
      </w:r>
      <w:r>
        <w:rPr>
          <w:rStyle w:val="Quotation"/>
          <w:i w:val="false"/>
          <w:iCs w:val="false"/>
        </w:rPr>
        <w:t xml:space="preserve"> 45 (2004): 5-32.</w:t>
      </w:r>
    </w:p>
    <w:p>
      <w:pPr>
        <w:pStyle w:val="References"/>
        <w:rPr/>
      </w:pPr>
      <w:r>
        <w:rPr>
          <w:rStyle w:val="Quotation"/>
          <w:i w:val="false"/>
          <w:iCs w:val="false"/>
        </w:rPr>
        <w:t xml:space="preserve">Louppe, Gilles. “Understanding Random Forests: From Theory to Practice.” </w:t>
      </w:r>
      <w:r>
        <w:rPr>
          <w:rStyle w:val="Quotation"/>
          <w:i/>
          <w:iCs/>
        </w:rPr>
        <w:t>arXiv: Machine Learning</w:t>
      </w:r>
      <w:r>
        <w:rPr>
          <w:rStyle w:val="Quotation"/>
          <w:i w:val="false"/>
          <w:iCs w:val="false"/>
        </w:rPr>
        <w:t xml:space="preserve"> (2014).</w:t>
      </w:r>
    </w:p>
    <w:p>
      <w:pPr>
        <w:pStyle w:val="References"/>
        <w:rPr/>
      </w:pPr>
      <w:r>
        <w:rPr>
          <w:rStyle w:val="Quotation"/>
          <w:i w:val="false"/>
          <w:iCs w:val="false"/>
        </w:rPr>
        <w:t xml:space="preserve">Natekin, Alexey and A. Knoll. “Gradient boosting machines, a tutorial.” </w:t>
      </w:r>
      <w:r>
        <w:rPr>
          <w:rStyle w:val="Quotation"/>
          <w:i/>
          <w:iCs/>
        </w:rPr>
        <w:t xml:space="preserve">Frontiers in Neurorobotics </w:t>
      </w:r>
      <w:r>
        <w:rPr>
          <w:rStyle w:val="Quotation"/>
          <w:i w:val="false"/>
          <w:iCs w:val="false"/>
        </w:rPr>
        <w:t>7 (2013).</w:t>
      </w:r>
    </w:p>
    <w:p>
      <w:pPr>
        <w:pStyle w:val="References"/>
        <w:rPr/>
      </w:pPr>
      <w:r>
        <w:rPr>
          <w:rStyle w:val="Quotation"/>
          <w:i w:val="false"/>
          <w:iCs w:val="false"/>
        </w:rPr>
        <w:t xml:space="preserve">Freund, Y. and R. Schapire. “A Decision-Theoretic Generalization of On-Line Learning and an Application to Boosting.” </w:t>
      </w:r>
      <w:r>
        <w:rPr>
          <w:rStyle w:val="Quotation"/>
          <w:i/>
          <w:iCs/>
        </w:rPr>
        <w:t>COLT 1997</w:t>
      </w:r>
      <w:r>
        <w:rPr>
          <w:rStyle w:val="Quotation"/>
          <w:i w:val="false"/>
          <w:iCs w:val="false"/>
        </w:rPr>
        <w:t xml:space="preserve"> (1997).</w:t>
      </w:r>
    </w:p>
    <w:p>
      <w:pPr>
        <w:pStyle w:val="References"/>
        <w:rPr/>
      </w:pPr>
      <w:r>
        <w:rPr>
          <w:rStyle w:val="Quotation"/>
          <w:i w:val="false"/>
          <w:iCs w:val="false"/>
        </w:rPr>
        <w:t xml:space="preserve">Friedman, J.. “Special Invited Paper-Additive logistic regression: A statistical view of boosting.” </w:t>
      </w:r>
      <w:r>
        <w:rPr>
          <w:rStyle w:val="Quotation"/>
          <w:i/>
          <w:iCs/>
        </w:rPr>
        <w:t>Annals of Statistics</w:t>
      </w:r>
      <w:r>
        <w:rPr>
          <w:rStyle w:val="Quotation"/>
          <w:i w:val="false"/>
          <w:iCs w:val="false"/>
        </w:rPr>
        <w:t xml:space="preserve"> 28 (2000): 374-376.</w:t>
      </w:r>
    </w:p>
    <w:p>
      <w:pPr>
        <w:pStyle w:val="References"/>
        <w:rPr/>
      </w:pPr>
      <w:r>
        <w:rPr>
          <w:rStyle w:val="Quotation"/>
          <w:i w:val="false"/>
          <w:iCs w:val="false"/>
        </w:rPr>
        <w:t xml:space="preserve">Friedman, J.. “Greedy function approximation: A gradient boosting machine.” </w:t>
      </w:r>
      <w:r>
        <w:rPr>
          <w:rStyle w:val="Quotation"/>
          <w:i/>
          <w:iCs/>
        </w:rPr>
        <w:t>Annals of Statistics</w:t>
      </w:r>
      <w:r>
        <w:rPr>
          <w:rStyle w:val="Quotation"/>
          <w:i w:val="false"/>
          <w:iCs w:val="false"/>
        </w:rPr>
        <w:t xml:space="preserve"> 29 (2001): 1189-1232.</w:t>
      </w:r>
    </w:p>
    <w:p>
      <w:pPr>
        <w:pStyle w:val="References"/>
        <w:rPr/>
      </w:pPr>
      <w:r>
        <w:rPr>
          <w:rStyle w:val="Quotation"/>
          <w:i w:val="false"/>
          <w:iCs w:val="false"/>
        </w:rPr>
        <w:t xml:space="preserve">Ostroumova, L. et al. “CatBoost: unbiased boosting with categorical features.” </w:t>
      </w:r>
      <w:r>
        <w:rPr>
          <w:rStyle w:val="Quotation"/>
          <w:i/>
          <w:iCs/>
        </w:rPr>
        <w:t>NeurIPS</w:t>
      </w:r>
      <w:r>
        <w:rPr>
          <w:rStyle w:val="Quotation"/>
          <w:i w:val="false"/>
          <w:iCs w:val="false"/>
        </w:rPr>
        <w:t xml:space="preserve"> (2018).</w:t>
      </w:r>
    </w:p>
    <w:p>
      <w:pPr>
        <w:pStyle w:val="References"/>
        <w:rPr/>
      </w:pPr>
      <w:r>
        <w:rPr>
          <w:rStyle w:val="Quotation"/>
          <w:i w:val="false"/>
          <w:iCs w:val="false"/>
        </w:rPr>
        <w:t xml:space="preserve">Ke, Guolin et al. “LightGBM: A Highly Efficient Gradient Boosting Decision Tree.” </w:t>
      </w:r>
      <w:r>
        <w:rPr>
          <w:rStyle w:val="Quotation"/>
          <w:i/>
          <w:iCs/>
        </w:rPr>
        <w:t>NIPS</w:t>
      </w:r>
      <w:r>
        <w:rPr>
          <w:rStyle w:val="Quotation"/>
          <w:i w:val="false"/>
          <w:iCs w:val="false"/>
        </w:rPr>
        <w:t xml:space="preserve"> (2017).</w:t>
      </w:r>
    </w:p>
    <w:p>
      <w:pPr>
        <w:pStyle w:val="References"/>
        <w:rPr/>
      </w:pPr>
      <w:r>
        <w:rPr>
          <w:rStyle w:val="Quotation"/>
          <w:i w:val="false"/>
          <w:iCs w:val="false"/>
        </w:rPr>
        <w:t xml:space="preserve">Chen, T. and Carlos Guestrin. “XGBoost: A Scalable Tree Boosting System.” </w:t>
      </w:r>
      <w:r>
        <w:rPr>
          <w:rStyle w:val="Quotation"/>
          <w:i/>
          <w:iCs/>
        </w:rPr>
        <w:t>Proceedings of the 22nd ACM SIGKDD International Conference on Knowledge Discovery and Data Mining</w:t>
      </w:r>
      <w:r>
        <w:rPr>
          <w:rStyle w:val="Quotation"/>
          <w:i w:val="false"/>
          <w:iCs w:val="false"/>
        </w:rPr>
        <w:t xml:space="preserve"> (2016).</w:t>
      </w:r>
    </w:p>
    <w:p>
      <w:pPr>
        <w:pStyle w:val="References"/>
        <w:rPr/>
      </w:pPr>
      <w:r>
        <w:rPr>
          <w:rStyle w:val="Quotation"/>
          <w:i w:val="false"/>
          <w:iCs w:val="false"/>
        </w:rPr>
        <w:t>Corder, Gregory W. and D. Foreman. “Nonparametric Statistics for Non-Statisticians: A Step-by-Step Approach.” (2009).</w:t>
      </w:r>
    </w:p>
    <w:p>
      <w:pPr>
        <w:pStyle w:val="References"/>
        <w:rPr/>
      </w:pPr>
      <w:r>
        <w:rPr>
          <w:rStyle w:val="Quotation"/>
          <w:i w:val="false"/>
          <w:iCs w:val="false"/>
        </w:rPr>
        <w:t xml:space="preserve">Wetschoreck, F., Krabel, T., &amp; Krishnamurthy, S. (2020). 8080labs/ppscore: zenodo release (1.1.2) [Computer software]. </w:t>
      </w:r>
      <w:r>
        <w:rPr>
          <w:rStyle w:val="Quotation"/>
          <w:i/>
          <w:iCs/>
        </w:rPr>
        <w:t>Zenodo</w:t>
      </w:r>
      <w:r>
        <w:rPr>
          <w:rStyle w:val="Quotation"/>
          <w:i w:val="false"/>
          <w:iCs w:val="false"/>
        </w:rPr>
        <w:t xml:space="preserve">. https://doi.org/10.5281/ZENODO.4091345 </w:t>
      </w:r>
    </w:p>
    <w:p>
      <w:pPr>
        <w:pStyle w:val="References"/>
        <w:rPr/>
      </w:pPr>
      <w:r>
        <w:rPr>
          <w:rStyle w:val="Quotation"/>
          <w:i w:val="false"/>
          <w:iCs w:val="false"/>
        </w:rPr>
        <w:t>Shapley, L. S.. “Notes on the n-Person Game — II: The Value of an n-Person Game.” (1951).</w:t>
      </w:r>
    </w:p>
    <w:p>
      <w:pPr>
        <w:pStyle w:val="References"/>
        <w:rPr/>
      </w:pPr>
      <w:r>
        <w:rPr>
          <w:rStyle w:val="Quotation"/>
          <w:i w:val="false"/>
          <w:iCs w:val="false"/>
          <w:szCs w:val="22"/>
        </w:rPr>
        <w:t>Molnar, Christoph. "Interpretable machine learning. A Guide for Making Black Box Models Explainable", 2019,  Pieejams: https://christophm.github.io/interpretable-ml-book/.</w:t>
      </w:r>
    </w:p>
    <w:p>
      <w:pPr>
        <w:pStyle w:val="References"/>
        <w:rPr/>
      </w:pPr>
      <w:r>
        <w:rPr>
          <w:rStyle w:val="Quotation"/>
          <w:i w:val="false"/>
          <w:iCs w:val="false"/>
        </w:rPr>
        <w:t xml:space="preserve">Grabisch, M. and M. Roubens. “An axiomatic approach to the concept of interaction among players in cooperative games.” </w:t>
      </w:r>
      <w:r>
        <w:rPr>
          <w:rStyle w:val="Quotation"/>
          <w:i/>
          <w:iCs/>
        </w:rPr>
        <w:t>International Journal of Game Theory</w:t>
      </w:r>
      <w:r>
        <w:rPr>
          <w:rStyle w:val="Quotation"/>
          <w:i w:val="false"/>
          <w:iCs w:val="false"/>
        </w:rPr>
        <w:t xml:space="preserve"> 28 (1999): 547-565.</w:t>
      </w:r>
    </w:p>
    <w:p>
      <w:pPr>
        <w:pStyle w:val="References"/>
        <w:rPr/>
      </w:pPr>
      <w:r>
        <w:rPr>
          <w:rStyle w:val="Quotation"/>
          <w:i w:val="false"/>
          <w:iCs w:val="false"/>
        </w:rPr>
        <w:t xml:space="preserve">Lundberg, Scott M. et al. “Consistent Individualized Feature Attribution for Tree Ensembles.” </w:t>
      </w:r>
      <w:r>
        <w:rPr>
          <w:rStyle w:val="Quotation"/>
          <w:i/>
          <w:iCs/>
        </w:rPr>
        <w:t>ArXiv</w:t>
      </w:r>
      <w:r>
        <w:rPr>
          <w:rStyle w:val="Quotation"/>
          <w:i w:val="false"/>
          <w:iCs w:val="false"/>
        </w:rPr>
        <w:t xml:space="preserve"> abs/1802.03888 (2018),</w:t>
      </w:r>
    </w:p>
    <w:p>
      <w:pPr>
        <w:pStyle w:val="References"/>
        <w:rPr/>
      </w:pPr>
      <w:r>
        <w:rPr>
          <w:rStyle w:val="Quotation"/>
          <w:i w:val="false"/>
          <w:iCs w:val="false"/>
        </w:rPr>
        <w:t>Cover, T. and J. Thomas. “Elements of Information Theory.” (1991).</w:t>
      </w:r>
    </w:p>
    <w:p>
      <w:pPr>
        <w:pStyle w:val="References"/>
        <w:rPr/>
      </w:pPr>
      <w:r>
        <w:rPr>
          <w:rStyle w:val="Quotation"/>
          <w:i w:val="false"/>
          <w:iCs w:val="false"/>
        </w:rPr>
        <w:t xml:space="preserve">McDonald, J.H. 2014. Handbook of Biological Statistics (3rd ed.). </w:t>
      </w:r>
      <w:r>
        <w:rPr>
          <w:rStyle w:val="Quotation"/>
          <w:i/>
          <w:iCs/>
        </w:rPr>
        <w:t>Sparky House Publishing</w:t>
      </w:r>
      <w:r>
        <w:rPr>
          <w:rStyle w:val="Quotation"/>
          <w:i w:val="false"/>
          <w:iCs w:val="false"/>
        </w:rPr>
        <w:t>.</w:t>
      </w:r>
    </w:p>
    <w:p>
      <w:pPr>
        <w:pStyle w:val="References"/>
        <w:rPr/>
      </w:pPr>
      <w:r>
        <w:rPr>
          <w:rStyle w:val="Quotation"/>
          <w:i w:val="false"/>
          <w:iCs w:val="false"/>
          <w:szCs w:val="22"/>
        </w:rPr>
        <w:t xml:space="preserve">Rudin, C. et al. “The age of secrecy and unfairness in recidivism prediction.” </w:t>
      </w:r>
      <w:r>
        <w:rPr>
          <w:rStyle w:val="Quotation"/>
          <w:i/>
          <w:iCs/>
          <w:szCs w:val="22"/>
        </w:rPr>
        <w:t>ArXiv</w:t>
      </w:r>
      <w:r>
        <w:rPr>
          <w:rStyle w:val="Quotation"/>
          <w:i w:val="false"/>
          <w:iCs w:val="false"/>
          <w:szCs w:val="22"/>
        </w:rPr>
        <w:t xml:space="preserve"> abs/1811.00731 (2018a).</w:t>
      </w:r>
    </w:p>
    <w:p>
      <w:pPr>
        <w:pStyle w:val="References"/>
        <w:rPr/>
      </w:pPr>
      <w:r>
        <w:rPr>
          <w:rStyle w:val="Quotation"/>
          <w:i w:val="false"/>
          <w:iCs w:val="false"/>
          <w:szCs w:val="22"/>
        </w:rPr>
        <w:t xml:space="preserve">Rudin, C.. “Stop explaining black box machine learning models for high stakes decisions and use interpretable models instead.” </w:t>
      </w:r>
      <w:r>
        <w:rPr>
          <w:rStyle w:val="Quotation"/>
          <w:i/>
          <w:iCs/>
          <w:szCs w:val="22"/>
        </w:rPr>
        <w:t xml:space="preserve">Nature Machine Intelligence </w:t>
      </w:r>
      <w:r>
        <w:rPr>
          <w:rStyle w:val="Quotation"/>
          <w:i w:val="false"/>
          <w:iCs w:val="false"/>
          <w:szCs w:val="22"/>
        </w:rPr>
        <w:t>1 (2018b): 206-215.</w:t>
      </w:r>
    </w:p>
    <w:p>
      <w:pPr>
        <w:pStyle w:val="References"/>
        <w:rPr/>
      </w:pPr>
      <w:r>
        <w:rPr>
          <w:rStyle w:val="Quotation"/>
          <w:i w:val="false"/>
          <w:iCs w:val="false"/>
        </w:rPr>
        <w:t xml:space="preserve">Boslaugh, S. and P. Watters. “Statistics in a nutshell.” (2008), </w:t>
      </w:r>
      <w:r>
        <w:rPr>
          <w:rStyle w:val="Quotation"/>
          <w:i/>
          <w:iCs/>
        </w:rPr>
        <w:t>O'Reilly Media</w:t>
      </w:r>
      <w:r>
        <w:rPr>
          <w:rStyle w:val="Quotation"/>
          <w:i w:val="false"/>
          <w:iCs w:val="false"/>
        </w:rPr>
        <w:t>.</w:t>
      </w:r>
    </w:p>
    <w:p>
      <w:pPr>
        <w:pStyle w:val="References"/>
        <w:rPr/>
      </w:pPr>
      <w:r>
        <w:rPr>
          <w:rStyle w:val="Quotation"/>
          <w:i w:val="false"/>
          <w:iCs w:val="false"/>
          <w:szCs w:val="22"/>
        </w:rPr>
        <w:t xml:space="preserve">Anscombe, F.. “Graphs in Statistical Analysis.” </w:t>
      </w:r>
      <w:r>
        <w:rPr>
          <w:rStyle w:val="Emphasis"/>
          <w:i/>
          <w:iCs/>
          <w:szCs w:val="22"/>
        </w:rPr>
        <w:t>The American Statistician</w:t>
      </w:r>
      <w:r>
        <w:rPr>
          <w:rStyle w:val="Quotation"/>
          <w:i w:val="false"/>
          <w:iCs w:val="false"/>
          <w:szCs w:val="22"/>
        </w:rPr>
        <w:t xml:space="preserve"> 27 (1973): 17-21.</w:t>
      </w:r>
    </w:p>
    <w:p>
      <w:pPr>
        <w:pStyle w:val="References"/>
        <w:rPr/>
      </w:pPr>
      <w:r>
        <w:rPr>
          <w:rStyle w:val="Quotation"/>
          <w:i w:val="false"/>
          <w:iCs w:val="false"/>
          <w:szCs w:val="22"/>
        </w:rPr>
        <w:t xml:space="preserve">Boughorbel, S. et al. “Optimal classifier for imbalanced data using Matthews Correlation Coefficient metric.” </w:t>
      </w:r>
      <w:r>
        <w:rPr>
          <w:rStyle w:val="Emphasis"/>
          <w:i/>
          <w:iCs/>
          <w:szCs w:val="22"/>
        </w:rPr>
        <w:t>PLoS ONE</w:t>
      </w:r>
      <w:r>
        <w:rPr>
          <w:rStyle w:val="Quotation"/>
          <w:i w:val="false"/>
          <w:iCs w:val="false"/>
          <w:szCs w:val="22"/>
        </w:rPr>
        <w:t xml:space="preserve"> 12 (2017).</w:t>
      </w:r>
    </w:p>
    <w:p>
      <w:pPr>
        <w:pStyle w:val="References"/>
        <w:rPr>
          <w:i w:val="false"/>
          <w:i w:val="false"/>
          <w:iCs w:val="false"/>
        </w:rPr>
      </w:pPr>
      <w:r>
        <w:rPr>
          <w:i w:val="false"/>
          <w:iCs w:val="false"/>
        </w:rPr>
        <w:t xml:space="preserve">Murthy, Sreerama K. and S. Salzberg. “Decision Tree Induction: How Effective is the Greedy Heuristic?” </w:t>
      </w:r>
      <w:r>
        <w:rPr>
          <w:i/>
          <w:iCs/>
        </w:rPr>
        <w:t>KDD</w:t>
      </w:r>
      <w:r>
        <w:rPr>
          <w:i w:val="false"/>
          <w:iCs w:val="false"/>
        </w:rPr>
        <w:t xml:space="preserve"> (1995).</w:t>
      </w:r>
    </w:p>
    <w:p>
      <w:pPr>
        <w:pStyle w:val="Normal"/>
        <w:ind w:hanging="0"/>
        <w:rPr>
          <w:i w:val="false"/>
          <w:i w:val="false"/>
          <w:iCs w:val="false"/>
        </w:rPr>
      </w:pPr>
      <w:r>
        <w:rPr>
          <w:i w:val="false"/>
          <w:iCs w:val="false"/>
          <w:sz w:val="22"/>
          <w:lang w:eastAsia="lv-LV"/>
        </w:rPr>
        <w:t xml:space="preserve">Hyafil, L. and R. Rivest. “Constructing Optimal Binary Decision Trees is NP-Complete.” </w:t>
      </w:r>
      <w:r>
        <w:rPr>
          <w:i/>
          <w:iCs/>
          <w:sz w:val="22"/>
          <w:lang w:eastAsia="lv-LV"/>
        </w:rPr>
        <w:t>Inf. Process. Lett.</w:t>
      </w:r>
      <w:r>
        <w:rPr>
          <w:i w:val="false"/>
          <w:iCs w:val="false"/>
          <w:sz w:val="22"/>
          <w:lang w:eastAsia="lv-LV"/>
        </w:rPr>
        <w:t xml:space="preserve"> 5 (1976): 15-17.</w:t>
      </w:r>
    </w:p>
    <w:p>
      <w:pPr>
        <w:pStyle w:val="Normal"/>
        <w:ind w:hanging="0"/>
        <w:rPr/>
      </w:pPr>
      <w:r>
        <w:rPr>
          <w:i w:val="false"/>
          <w:iCs w:val="false"/>
          <w:sz w:val="22"/>
          <w:lang w:eastAsia="lv-LV"/>
        </w:rPr>
        <w:t xml:space="preserve">Hu, Xiyang et al. “Optimal Sparse Decision Trees.” </w:t>
      </w:r>
      <w:r>
        <w:rPr>
          <w:rStyle w:val="Emphasis"/>
          <w:i/>
          <w:iCs/>
          <w:sz w:val="22"/>
          <w:lang w:eastAsia="lv-LV"/>
        </w:rPr>
        <w:t>NeurIPS</w:t>
      </w:r>
      <w:r>
        <w:rPr>
          <w:rStyle w:val="Emphasis"/>
          <w:i w:val="false"/>
          <w:iCs w:val="false"/>
          <w:sz w:val="22"/>
          <w:lang w:eastAsia="lv-LV"/>
        </w:rPr>
        <w:t xml:space="preserve"> </w:t>
      </w:r>
      <w:r>
        <w:rPr>
          <w:i w:val="false"/>
          <w:iCs w:val="false"/>
          <w:sz w:val="22"/>
          <w:lang w:eastAsia="lv-LV"/>
        </w:rPr>
        <w:t>(2019).</w:t>
      </w:r>
    </w:p>
    <w:p>
      <w:pPr>
        <w:pStyle w:val="Normal"/>
        <w:ind w:hanging="0"/>
        <w:rPr/>
      </w:pPr>
      <w:r>
        <w:rPr>
          <w:i w:val="false"/>
          <w:iCs w:val="false"/>
          <w:sz w:val="22"/>
          <w:lang w:eastAsia="lv-LV"/>
        </w:rPr>
        <w:t xml:space="preserve">Bertsimas, D. and Jack Dunn. “Optimal classification trees.” </w:t>
      </w:r>
      <w:r>
        <w:rPr>
          <w:rStyle w:val="Emphasis"/>
          <w:i/>
          <w:iCs/>
          <w:sz w:val="22"/>
          <w:lang w:eastAsia="lv-LV"/>
        </w:rPr>
        <w:t>Machine Learning</w:t>
      </w:r>
      <w:r>
        <w:rPr>
          <w:rStyle w:val="Emphasis"/>
          <w:i w:val="false"/>
          <w:iCs w:val="false"/>
          <w:sz w:val="22"/>
          <w:lang w:eastAsia="lv-LV"/>
        </w:rPr>
        <w:t xml:space="preserve"> </w:t>
      </w:r>
      <w:r>
        <w:rPr>
          <w:i w:val="false"/>
          <w:iCs w:val="false"/>
          <w:sz w:val="22"/>
          <w:lang w:eastAsia="lv-LV"/>
        </w:rPr>
        <w:t>106 (2017): 1039-1082.</w:t>
      </w:r>
    </w:p>
    <w:p>
      <w:pPr>
        <w:pStyle w:val="Normal"/>
        <w:ind w:hanging="0"/>
        <w:rPr/>
      </w:pPr>
      <w:r>
        <w:rPr>
          <w:i w:val="false"/>
          <w:iCs w:val="false"/>
          <w:sz w:val="22"/>
          <w:lang w:eastAsia="lv-LV"/>
        </w:rPr>
        <w:t xml:space="preserve">Lin, Jimmy J. et al. “Generalized and Scalable Optimal Sparse Decision Trees.” </w:t>
      </w:r>
      <w:r>
        <w:rPr>
          <w:rStyle w:val="Emphasis"/>
          <w:i/>
          <w:iCs/>
          <w:sz w:val="22"/>
          <w:lang w:eastAsia="lv-LV"/>
        </w:rPr>
        <w:t>ICML</w:t>
      </w:r>
      <w:r>
        <w:rPr>
          <w:rStyle w:val="Emphasis"/>
          <w:i w:val="false"/>
          <w:iCs w:val="false"/>
          <w:sz w:val="22"/>
          <w:lang w:eastAsia="lv-LV"/>
        </w:rPr>
        <w:t xml:space="preserve"> </w:t>
      </w:r>
      <w:r>
        <w:rPr>
          <w:i w:val="false"/>
          <w:iCs w:val="false"/>
          <w:sz w:val="22"/>
          <w:lang w:eastAsia="lv-LV"/>
        </w:rPr>
        <w:t>(2020).</w:t>
      </w:r>
    </w:p>
    <w:p>
      <w:pPr>
        <w:pStyle w:val="Normal"/>
        <w:ind w:hanging="0"/>
        <w:rPr/>
      </w:pPr>
      <w:r>
        <w:rPr>
          <w:i w:val="false"/>
          <w:iCs w:val="false"/>
          <w:sz w:val="22"/>
          <w:lang w:eastAsia="lv-LV"/>
        </w:rPr>
        <w:t xml:space="preserve">Guyon, I. and A. Elisseeff. “An Introduction to Variable and Feature Selection.” </w:t>
      </w:r>
      <w:r>
        <w:rPr>
          <w:rStyle w:val="Emphasis"/>
          <w:i/>
          <w:iCs/>
          <w:sz w:val="22"/>
          <w:lang w:eastAsia="lv-LV"/>
        </w:rPr>
        <w:t>J. Mach. Learn. Res.</w:t>
      </w:r>
      <w:r>
        <w:rPr>
          <w:rStyle w:val="Emphasis"/>
          <w:i w:val="false"/>
          <w:iCs w:val="false"/>
          <w:sz w:val="22"/>
          <w:lang w:eastAsia="lv-LV"/>
        </w:rPr>
        <w:t xml:space="preserve"> </w:t>
      </w:r>
      <w:r>
        <w:rPr>
          <w:i w:val="false"/>
          <w:iCs w:val="false"/>
          <w:sz w:val="22"/>
          <w:lang w:eastAsia="lv-LV"/>
        </w:rPr>
        <w:t>3 (2003): 1157-1182.</w:t>
      </w:r>
    </w:p>
    <w:p>
      <w:pPr>
        <w:pStyle w:val="Normal"/>
        <w:ind w:hanging="0"/>
        <w:rPr/>
      </w:pPr>
      <w:r>
        <w:rPr>
          <w:i w:val="false"/>
          <w:iCs w:val="false"/>
          <w:sz w:val="22"/>
          <w:lang w:eastAsia="lv-LV"/>
        </w:rPr>
        <w:t xml:space="preserve">Kohavi, R. and George H. John. “Wrappers for Feature Subset Selection.” </w:t>
      </w:r>
      <w:r>
        <w:rPr>
          <w:rStyle w:val="Emphasis"/>
          <w:i/>
          <w:iCs/>
          <w:sz w:val="22"/>
          <w:lang w:eastAsia="lv-LV"/>
        </w:rPr>
        <w:t>Artif. Intell.</w:t>
      </w:r>
      <w:r>
        <w:rPr>
          <w:rStyle w:val="Emphasis"/>
          <w:i w:val="false"/>
          <w:iCs w:val="false"/>
          <w:sz w:val="22"/>
          <w:lang w:eastAsia="lv-LV"/>
        </w:rPr>
        <w:t xml:space="preserve"> </w:t>
      </w:r>
      <w:r>
        <w:rPr>
          <w:i w:val="false"/>
          <w:iCs w:val="false"/>
          <w:sz w:val="22"/>
          <w:lang w:eastAsia="lv-LV"/>
        </w:rPr>
        <w:t>97 (1997): 273-324.</w:t>
      </w:r>
    </w:p>
    <w:p>
      <w:pPr>
        <w:pStyle w:val="Normal"/>
        <w:ind w:hanging="0"/>
        <w:rPr/>
      </w:pPr>
      <w:r>
        <w:rPr>
          <w:i w:val="false"/>
          <w:iCs w:val="false"/>
          <w:sz w:val="22"/>
          <w:lang w:eastAsia="lv-LV"/>
        </w:rPr>
        <w:t xml:space="preserve">Amaldi, E. and V. Kann. “On the Approximability of Minimizing Nonzero Variables or Unsatisfied Relations in Linear Systems.” </w:t>
      </w:r>
      <w:r>
        <w:rPr>
          <w:rStyle w:val="Emphasis"/>
          <w:i/>
          <w:iCs/>
          <w:sz w:val="22"/>
          <w:lang w:eastAsia="lv-LV"/>
        </w:rPr>
        <w:t>Theor. Comput. Sci.</w:t>
      </w:r>
      <w:r>
        <w:rPr>
          <w:rStyle w:val="Emphasis"/>
          <w:i w:val="false"/>
          <w:iCs w:val="false"/>
          <w:sz w:val="22"/>
          <w:lang w:eastAsia="lv-LV"/>
        </w:rPr>
        <w:t xml:space="preserve"> </w:t>
      </w:r>
      <w:r>
        <w:rPr>
          <w:i w:val="false"/>
          <w:iCs w:val="false"/>
          <w:sz w:val="22"/>
          <w:lang w:eastAsia="lv-LV"/>
        </w:rPr>
        <w:t>209 (1998): 237-260.</w:t>
      </w:r>
    </w:p>
    <w:p>
      <w:pPr>
        <w:pStyle w:val="Normal"/>
        <w:ind w:hanging="0"/>
        <w:rPr/>
      </w:pPr>
      <w:r>
        <w:rPr>
          <w:i w:val="false"/>
          <w:iCs w:val="false"/>
          <w:sz w:val="22"/>
          <w:lang w:eastAsia="lv-LV"/>
        </w:rPr>
        <w:t xml:space="preserve">Guyon, I. et al. “Gene Selection for Cancer Classification using Support Vector Machines.” </w:t>
      </w:r>
      <w:r>
        <w:rPr>
          <w:rStyle w:val="Emphasis"/>
          <w:i/>
          <w:iCs/>
          <w:sz w:val="22"/>
          <w:lang w:eastAsia="lv-LV"/>
        </w:rPr>
        <w:t>Machine Learning</w:t>
      </w:r>
      <w:r>
        <w:rPr>
          <w:rStyle w:val="Emphasis"/>
          <w:i w:val="false"/>
          <w:iCs w:val="false"/>
          <w:sz w:val="22"/>
          <w:lang w:eastAsia="lv-LV"/>
        </w:rPr>
        <w:t xml:space="preserve"> </w:t>
      </w:r>
      <w:r>
        <w:rPr>
          <w:i w:val="false"/>
          <w:iCs w:val="false"/>
          <w:sz w:val="22"/>
          <w:lang w:eastAsia="lv-LV"/>
        </w:rPr>
        <w:t>46 (2004): 389-422.</w:t>
      </w:r>
    </w:p>
    <w:p>
      <w:pPr>
        <w:pStyle w:val="Normal"/>
        <w:ind w:hanging="0"/>
        <w:rPr/>
      </w:pPr>
      <w:r>
        <w:rPr>
          <w:i w:val="false"/>
          <w:iCs w:val="false"/>
          <w:sz w:val="22"/>
          <w:lang w:eastAsia="lv-LV"/>
        </w:rPr>
        <w:t xml:space="preserve">Kim, Been et al. “Examples are not enough, learn to criticize! Criticism for Interpretability.” </w:t>
      </w:r>
      <w:r>
        <w:rPr>
          <w:rStyle w:val="Emphasis"/>
          <w:i/>
          <w:iCs/>
          <w:sz w:val="22"/>
          <w:lang w:eastAsia="lv-LV"/>
        </w:rPr>
        <w:t>NIPS</w:t>
      </w:r>
      <w:r>
        <w:rPr>
          <w:rStyle w:val="Emphasis"/>
          <w:i w:val="false"/>
          <w:iCs w:val="false"/>
          <w:sz w:val="22"/>
          <w:lang w:eastAsia="lv-LV"/>
        </w:rPr>
        <w:t xml:space="preserve"> </w:t>
      </w:r>
      <w:r>
        <w:rPr>
          <w:i w:val="false"/>
          <w:iCs w:val="false"/>
          <w:sz w:val="22"/>
          <w:lang w:eastAsia="lv-LV"/>
        </w:rPr>
        <w:t>(2016).</w:t>
      </w:r>
    </w:p>
    <w:p>
      <w:pPr>
        <w:pStyle w:val="Normal"/>
        <w:ind w:hanging="0"/>
        <w:rPr/>
      </w:pPr>
      <w:r>
        <w:rPr>
          <w:i w:val="false"/>
          <w:iCs w:val="false"/>
          <w:sz w:val="22"/>
          <w:lang w:eastAsia="lv-LV"/>
        </w:rPr>
        <w:t xml:space="preserve">Arrieta, A. et al. “Explainable Artificial Intelligence (XAI): Concepts, Taxonomies, Opportunities and Challenges toward Responsible AI.” </w:t>
      </w:r>
      <w:r>
        <w:rPr>
          <w:rStyle w:val="Emphasis"/>
          <w:i/>
          <w:iCs/>
          <w:sz w:val="22"/>
          <w:lang w:eastAsia="lv-LV"/>
        </w:rPr>
        <w:t>ArXiv</w:t>
      </w:r>
      <w:r>
        <w:rPr>
          <w:rStyle w:val="Emphasis"/>
          <w:i w:val="false"/>
          <w:iCs w:val="false"/>
          <w:sz w:val="22"/>
          <w:lang w:eastAsia="lv-LV"/>
        </w:rPr>
        <w:t xml:space="preserve"> </w:t>
      </w:r>
      <w:r>
        <w:rPr>
          <w:i w:val="false"/>
          <w:iCs w:val="false"/>
          <w:sz w:val="22"/>
          <w:lang w:eastAsia="lv-LV"/>
        </w:rPr>
        <w:t>abs/1910.10045 (2020)</w:t>
      </w:r>
    </w:p>
    <w:p>
      <w:pPr>
        <w:pStyle w:val="Normal"/>
        <w:ind w:hanging="0"/>
        <w:rPr>
          <w:i w:val="false"/>
          <w:i w:val="false"/>
          <w:iCs w:val="false"/>
        </w:rPr>
      </w:pPr>
      <w:r>
        <w:rPr>
          <w:i w:val="false"/>
          <w:iCs w:val="false"/>
          <w:sz w:val="22"/>
          <w:lang w:eastAsia="lv-LV"/>
        </w:rPr>
        <w:t>Bostrom, N. “Superintelligence: Paths, Dangers, Strategies.” (2014).</w:t>
      </w:r>
    </w:p>
    <w:p>
      <w:pPr>
        <w:pStyle w:val="Normal"/>
        <w:ind w:hanging="0"/>
        <w:rPr/>
      </w:pPr>
      <w:r>
        <w:rPr>
          <w:rStyle w:val="Quotation"/>
          <w:i w:val="false"/>
          <w:iCs w:val="false"/>
          <w:sz w:val="22"/>
          <w:lang w:eastAsia="lv-LV"/>
        </w:rPr>
        <w:t xml:space="preserve">Mueller, Shane T. et al. “Explanation in Human-AI Systems: A Literature Meta-Review, Synopsis of Key Ideas and Publications, and Bibliography for Explainable AI.” </w:t>
      </w:r>
      <w:r>
        <w:rPr>
          <w:rStyle w:val="Emphasis"/>
          <w:i/>
          <w:iCs/>
          <w:sz w:val="22"/>
          <w:lang w:eastAsia="lv-LV"/>
        </w:rPr>
        <w:t>ArXiv</w:t>
      </w:r>
      <w:r>
        <w:rPr>
          <w:rStyle w:val="Quotation"/>
          <w:i w:val="false"/>
          <w:iCs w:val="false"/>
          <w:sz w:val="22"/>
          <w:lang w:eastAsia="lv-LV"/>
        </w:rPr>
        <w:t xml:space="preserve"> abs/1902.01876 (2019)</w:t>
      </w:r>
    </w:p>
    <w:p>
      <w:pPr>
        <w:pStyle w:val="Normal"/>
        <w:ind w:hanging="0"/>
        <w:rPr/>
      </w:pPr>
      <w:r>
        <w:rPr>
          <w:rStyle w:val="Quotation"/>
          <w:i w:val="false"/>
          <w:iCs w:val="false"/>
          <w:sz w:val="22"/>
          <w:lang w:eastAsia="lv-LV"/>
        </w:rPr>
        <w:t xml:space="preserve">Thornton, C. et al. “Auto-WEKA: combined selection and hyperparameter optimization of classification algorithms.” </w:t>
      </w:r>
      <w:r>
        <w:rPr>
          <w:rStyle w:val="Emphasis"/>
          <w:i/>
          <w:iCs/>
          <w:sz w:val="22"/>
          <w:lang w:eastAsia="lv-LV"/>
        </w:rPr>
        <w:t>Proceedings of the 19th ACM SIGKDD international conference on Knowledge discovery and data mining</w:t>
      </w:r>
      <w:r>
        <w:rPr>
          <w:rStyle w:val="Emphasis"/>
          <w:i w:val="false"/>
          <w:iCs w:val="false"/>
          <w:sz w:val="22"/>
          <w:lang w:eastAsia="lv-LV"/>
        </w:rPr>
        <w:t xml:space="preserve"> </w:t>
      </w:r>
      <w:r>
        <w:rPr>
          <w:rStyle w:val="Quotation"/>
          <w:i w:val="false"/>
          <w:iCs w:val="false"/>
          <w:sz w:val="22"/>
          <w:lang w:eastAsia="lv-LV"/>
        </w:rPr>
        <w:t>(2013)</w:t>
      </w:r>
    </w:p>
    <w:p>
      <w:pPr>
        <w:pStyle w:val="Normal"/>
        <w:ind w:hanging="0"/>
        <w:rPr/>
      </w:pPr>
      <w:r>
        <w:rPr>
          <w:rStyle w:val="Quotation"/>
          <w:i w:val="false"/>
          <w:iCs w:val="false"/>
          <w:sz w:val="22"/>
          <w:lang w:eastAsia="lv-LV"/>
        </w:rPr>
        <w:t xml:space="preserve">Akiba, Takuya et al. “Optuna: A Next-generation Hyperparameter Optimization Framework.” </w:t>
      </w:r>
      <w:r>
        <w:rPr>
          <w:rStyle w:val="Emphasis"/>
          <w:i/>
          <w:iCs/>
          <w:sz w:val="22"/>
          <w:lang w:eastAsia="lv-LV"/>
        </w:rPr>
        <w:t>Proceedings of the 25th ACM SIGKDD International Conference on Knowledge Discovery &amp; Data Mining</w:t>
      </w:r>
      <w:r>
        <w:rPr>
          <w:rStyle w:val="Emphasis"/>
          <w:i w:val="false"/>
          <w:iCs w:val="false"/>
          <w:sz w:val="22"/>
          <w:lang w:eastAsia="lv-LV"/>
        </w:rPr>
        <w:t xml:space="preserve"> </w:t>
      </w:r>
      <w:r>
        <w:rPr>
          <w:rStyle w:val="Quotation"/>
          <w:i w:val="false"/>
          <w:iCs w:val="false"/>
          <w:sz w:val="22"/>
          <w:lang w:eastAsia="lv-LV"/>
        </w:rPr>
        <w:t>(2019)</w:t>
      </w:r>
    </w:p>
    <w:p>
      <w:pPr>
        <w:pStyle w:val="Normal"/>
        <w:ind w:hanging="0"/>
        <w:rPr/>
      </w:pPr>
      <w:r>
        <w:rPr>
          <w:rStyle w:val="Quotation"/>
          <w:i w:val="false"/>
          <w:iCs w:val="false"/>
          <w:sz w:val="22"/>
          <w:lang w:eastAsia="lv-LV"/>
        </w:rPr>
        <w:t xml:space="preserve">Falkner, S. et al. “BOHB: Robust and Efficient Hyperparameter Optimization at Scale.” </w:t>
      </w:r>
      <w:r>
        <w:rPr>
          <w:rStyle w:val="Emphasis"/>
          <w:i/>
          <w:iCs/>
          <w:sz w:val="22"/>
          <w:lang w:eastAsia="lv-LV"/>
        </w:rPr>
        <w:t>ICML</w:t>
      </w:r>
      <w:r>
        <w:rPr>
          <w:rStyle w:val="Emphasis"/>
          <w:i w:val="false"/>
          <w:iCs w:val="false"/>
          <w:sz w:val="22"/>
          <w:lang w:eastAsia="lv-LV"/>
        </w:rPr>
        <w:t xml:space="preserve"> </w:t>
      </w:r>
      <w:r>
        <w:rPr>
          <w:rStyle w:val="Quotation"/>
          <w:i w:val="false"/>
          <w:iCs w:val="false"/>
          <w:sz w:val="22"/>
          <w:lang w:eastAsia="lv-LV"/>
        </w:rPr>
        <w:t>(2018).</w:t>
      </w:r>
    </w:p>
    <w:p>
      <w:pPr>
        <w:pStyle w:val="Normal"/>
        <w:ind w:hanging="0"/>
        <w:rPr/>
      </w:pPr>
      <w:r>
        <w:rPr>
          <w:rStyle w:val="Quotation"/>
          <w:bCs/>
          <w:i w:val="false"/>
          <w:iCs w:val="false"/>
          <w:sz w:val="22"/>
          <w:lang w:eastAsia="lv-LV"/>
        </w:rPr>
        <w:t xml:space="preserve">Li, Lisha et al. “Hyperband: A Novel Bandit-Based Approach to Hyperparameter Optimization.” </w:t>
      </w:r>
      <w:r>
        <w:rPr>
          <w:rStyle w:val="Emphasis"/>
          <w:bCs/>
          <w:i/>
          <w:iCs/>
          <w:sz w:val="22"/>
          <w:lang w:eastAsia="lv-LV"/>
        </w:rPr>
        <w:t>J. Mach. Learn. Res.</w:t>
      </w:r>
      <w:r>
        <w:rPr>
          <w:rStyle w:val="Emphasis"/>
          <w:bCs/>
          <w:i w:val="false"/>
          <w:iCs w:val="false"/>
          <w:sz w:val="22"/>
          <w:lang w:eastAsia="lv-LV"/>
        </w:rPr>
        <w:t xml:space="preserve"> </w:t>
      </w:r>
      <w:r>
        <w:rPr>
          <w:rStyle w:val="Quotation"/>
          <w:bCs/>
          <w:i w:val="false"/>
          <w:iCs w:val="false"/>
          <w:sz w:val="22"/>
          <w:lang w:eastAsia="lv-LV"/>
        </w:rPr>
        <w:t>18 (2017): 185:1-185:52.</w:t>
      </w:r>
    </w:p>
    <w:p>
      <w:pPr>
        <w:pStyle w:val="Normal"/>
        <w:ind w:hanging="0"/>
        <w:rPr/>
      </w:pPr>
      <w:r>
        <w:rPr>
          <w:rStyle w:val="Quotation"/>
          <w:bCs/>
          <w:i w:val="false"/>
          <w:iCs w:val="false"/>
          <w:sz w:val="22"/>
          <w:lang w:eastAsia="lv-LV"/>
        </w:rPr>
        <w:t>Kuhn, M. and Kjell Johnson. “Applied Predictive Modeling.” (2013).</w:t>
      </w:r>
      <w:r>
        <w:br w:type="page"/>
      </w:r>
    </w:p>
    <w:p>
      <w:pPr>
        <w:pStyle w:val="Avirsraksts1beznum"/>
        <w:ind w:hanging="0"/>
        <w:rPr/>
      </w:pPr>
      <w:r>
        <w:rPr>
          <w:sz w:val="44"/>
          <w:szCs w:val="44"/>
        </w:rPr>
        <w:t>PIELIKUMI</w:t>
      </w:r>
    </w:p>
    <w:p>
      <w:pPr>
        <w:sectPr>
          <w:headerReference w:type="default" r:id="rId32"/>
          <w:footerReference w:type="default" r:id="rId33"/>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4"/>
      <w:headerReference w:type="first" r:id="rId35"/>
      <w:footerReference w:type="default" r:id="rId36"/>
      <w:footerReference w:type="first" r:id="rId37"/>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5T11:16:0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Ievads ir pēc satura rādītāja.</w:t>
      </w:r>
    </w:p>
  </w:comment>
  <w:comment w:id="1" w:author="Unknown Author" w:date="2021-09-05T11:16:19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varētu mazliet vairāk populārzinātniskā stilā par izskaidrojamību.</w:t>
      </w:r>
    </w:p>
  </w:comment>
  <w:comment w:id="2" w:author="Unknown Author" w:date="2021-09-05T11:06: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iztrūka nodaļa 2 un 3</w:t>
      </w:r>
    </w:p>
  </w:comment>
  <w:comment w:id="4" w:author="Unknown Author" w:date="2021-09-05T11:28:5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Ansamblis vs izlase?</w:t>
      </w:r>
    </w:p>
  </w:comment>
  <w:comment w:id="3" w:author="Unknown Author" w:date="2021-09-04T11:30: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Jauna stratēģija, jauns teksts. Var paturēt, var izmest</w:t>
      </w:r>
    </w:p>
  </w:comment>
  <w:comment w:id="5" w:author="Vita Šakele" w:date="2021-09-04T09:06:00Z" w:initials="VŠ">
    <w:p>
      <w:r>
        <w:rPr>
          <w:rFonts w:ascii="Liberation Serif" w:hAnsi="Liberation Serif" w:eastAsia="DejaVu Sans" w:cs="Noto Sans Arabic UI"/>
          <w:lang w:val="en-US" w:eastAsia="en-US" w:bidi="en-US"/>
        </w:rPr>
        <w:t>Te vajadzētu kaut kādus pierādījumus, piem., Sringerā  par katru no metodēm ir xx ieraksti.</w:t>
      </w:r>
    </w:p>
  </w:comment>
  <w:comment w:id="6" w:author="Vita Šakele" w:date="2021-09-04T09:04:00Z" w:initials="VŠ">
    <w:p>
      <w:r>
        <w:rPr>
          <w:rFonts w:ascii="Liberation Serif" w:hAnsi="Liberation Serif" w:eastAsia="DejaVu Sans" w:cs="Noto Sans Arabic UI"/>
          <w:lang w:val="en-US" w:eastAsia="en-US" w:bidi="en-US"/>
        </w:rPr>
        <w:t>Te ieskicēt, to, ko darīs eksperimentos. Es tikai iesāku.</w:t>
      </w:r>
    </w:p>
  </w:comment>
  <w:comment w:id="7" w:author="Unknown Author" w:date="2021-09-05T11:29:44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sasaista vienkāršu modeļu izmantošanas stratēģiju ar darbu, var izmest var paturēt</w:t>
      </w:r>
    </w:p>
  </w:comment>
  <w:comment w:id="8" w:author="Vita Šakele" w:date="2021-09-04T09:00:00Z" w:initials="VŠ">
    <w:p>
      <w:r>
        <w:rPr>
          <w:rFonts w:ascii="Liberation Serif" w:hAnsi="Liberation Serif" w:eastAsia="DejaVu Sans" w:cs="Noto Sans Arabic UI"/>
          <w:lang w:val="en-US" w:eastAsia="en-US" w:bidi="en-US"/>
        </w:rPr>
        <w:t>Pēc šī pamatojuma man gribas teikt, ka tieši šo vajadzēja ņemt. Ir jauns un neizpētīts un tad ņemt un rakt… vai tas, ka jauns nozīmē pētniecībai nederīgs?</w:t>
      </w:r>
    </w:p>
  </w:comment>
  <w:comment w:id="9" w:author="Unknown Author" w:date="2021-09-05T11:40:42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Šeit “netrauslas” bija domāts anti-fragile, Naseem Nicholas Taleeb.</w:t>
      </w:r>
    </w:p>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Sistēmas kuras spiediena rezultāta uzlabo savu darbību</w:t>
      </w:r>
    </w:p>
  </w:comment>
  <w:comment w:id="10" w:author="Vita Šakele" w:date="2021-09-04T09:20:00Z" w:initials="VŠ">
    <w:p>
      <w:r>
        <w:rPr>
          <w:rFonts w:ascii="Liberation Serif" w:hAnsi="Liberation Serif" w:eastAsia="DejaVu Sans" w:cs="Noto Sans Arabic UI"/>
          <w:lang w:val="en-US" w:eastAsia="en-US" w:bidi="en-US"/>
        </w:rPr>
        <w:t>Te vajadzētu kādu pārejas teikumu, lai sasaistītu Anskobu ar Gudhartu</w:t>
      </w:r>
    </w:p>
  </w:comment>
  <w:comment w:id="11" w:author="Vita Šakele" w:date="2021-09-04T09:26:00Z" w:initials="VŠ">
    <w:p>
      <w:r>
        <w:rPr>
          <w:rFonts w:ascii="Liberation Serif" w:hAnsi="Liberation Serif" w:eastAsia="DejaVu Sans" w:cs="Noto Sans Arabic UI"/>
          <w:lang w:val="en-US" w:eastAsia="en-US" w:bidi="en-US"/>
        </w:rPr>
        <w:t>Man kaut kā slikti līmējas kopā. Vai nu ir atkal ir vajadzīgs kāds labs ievads/pāreja. Vai arī gabalam par COMPAS varētu būt vieta arī citur. Iespējams, tas varētu būt kā labs piemērs nodaļā 1.1Izskaidrojamības jēdziens</w:t>
      </w:r>
    </w:p>
  </w:comment>
  <w:comment w:id="12" w:author="Vita Šakele" w:date="2021-09-04T10:22:00Z" w:initials="VŠ">
    <w:p>
      <w:r>
        <w:rPr>
          <w:rFonts w:ascii="Liberation Serif" w:hAnsi="Liberation Serif" w:eastAsia="DejaVu Sans" w:cs="Noto Sans Arabic UI"/>
          <w:lang w:val="en-US" w:eastAsia="en-US" w:bidi="en-US"/>
        </w:rPr>
        <w:t>Padomāt par labāku vārdu</w:t>
      </w:r>
    </w:p>
  </w:comment>
  <w:comment w:id="13" w:author="Unknown Author" w:date="2021-09-05T11:53:08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Izveidot tekstu</w:t>
      </w:r>
    </w:p>
  </w:comment>
  <w:comment w:id="14" w:author="Vita Šakele" w:date="2021-09-04T09:58:00Z" w:initials="VŠ">
    <w:p>
      <w:r>
        <w:rPr>
          <w:rFonts w:ascii="Liberation Serif" w:hAnsi="Liberation Serif" w:eastAsia="DejaVu Sans" w:cs="Noto Sans Arabic UI"/>
          <w:lang w:val="en-US" w:eastAsia="en-US" w:bidi="en-US"/>
        </w:rPr>
        <w:t>Tad vajadzētu vismaz vēl vienu piemēru.</w:t>
      </w:r>
    </w:p>
  </w:comment>
  <w:comment w:id="15" w:author="Vita Šakele" w:date="2021-09-04T09:58:00Z" w:initials="VŠ">
    <w:p>
      <w:r>
        <w:rPr>
          <w:rFonts w:ascii="Liberation Serif" w:hAnsi="Liberation Serif" w:eastAsia="DejaVu Sans" w:cs="Noto Sans Arabic UI"/>
          <w:lang w:val="en-US" w:eastAsia="en-US" w:bidi="en-US"/>
        </w:rPr>
        <w:t>Tā kā ir tikai viena apakšnodaļā tad iet bez numerācijas. Varbūt arī iepriekšējā nodaļā, lai būtu līdzīgi rakstīt bez numerācijas tikai ar virsrkstu boldā un kas izlīdzināts pēc kreisās malas.</w:t>
      </w:r>
    </w:p>
  </w:comment>
  <w:comment w:id="16" w:author="Unknown Author" w:date="2021-09-05T12:49:39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Atstāt, izmest?</w:t>
      </w:r>
    </w:p>
  </w:comment>
  <w:comment w:id="17" w:author="Unknown Author" w:date="2021-09-05T12:54:12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Kas tieši?</w:t>
      </w:r>
    </w:p>
  </w:comment>
  <w:comment w:id="18" w:author="Vita Šakele" w:date="2021-09-04T10:36:00Z" w:initials="VŠ">
    <w:p>
      <w:r>
        <w:rPr>
          <w:rFonts w:ascii="Liberation Serif" w:hAnsi="Liberation Serif" w:eastAsia="DejaVu Sans" w:cs="Noto Sans Arabic UI"/>
          <w:lang w:val="en-US" w:eastAsia="en-US" w:bidi="en-US"/>
        </w:rPr>
        <w:t>Ko nozīmē pēc instanču skaita. Lai ir daudz/maz? Tas pats arī par mainīgo skaitu. Meklēji kopas ar daudz/maz? Ko nozīmē heterogēnas datu kopas.</w:t>
      </w:r>
    </w:p>
  </w:comment>
  <w:comment w:id="19" w:author="Unknown Author" w:date="2021-09-05T13:11:43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“Iespējams, ka vajag iepīt arī jupyter notebook.”</w:t>
      </w:r>
    </w:p>
    <w:p>
      <w:r>
        <w:rPr>
          <w:rFonts w:ascii="Liberation Serif" w:hAnsi="Liberation Serif" w:eastAsia="DejaVu Sans" w:cs="Noto Sans Arabic UI"/>
          <w:lang w:val="en-US" w:eastAsia="en-US" w:bidi="en-US"/>
        </w:rPr>
      </w:r>
    </w:p>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Ir ok?</w:t>
      </w:r>
    </w:p>
  </w:comment>
  <w:comment w:id="20" w:author="Unknown Author" w:date="2021-09-05T14:06: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w:t>
      </w:r>
    </w:p>
  </w:comment>
  <w:comment w:id="21" w:author="Unknown Author" w:date="2021-09-05T15:16:21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Pēc kāda principa ir sakārtotas metodes. Es laikam liktu tādā secībā kā aprakstos, vai arī sakārtotu pēc modeļa uzlabojuma.</w:t>
      </w:r>
    </w:p>
  </w:comment>
  <w:comment w:id="22" w:author="Unknown Author" w:date="2021-09-05T15:19:28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Pilnie metožu nosaukumi</w:t>
      </w:r>
    </w:p>
  </w:comment>
  <w:comment w:id="23" w:author="Unknown Author" w:date="2021-09-05T15:26: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Vajag pieminēt, ka datos metode kritērija guvums ir gini</w:t>
      </w:r>
    </w:p>
  </w:comment>
  <w:comment w:id="24" w:author="Unknown Author" w:date="2021-09-05T15:29: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Vajag pieminēt, ka datos metode kritērija guvums ir gini</w:t>
      </w:r>
    </w:p>
  </w:comment>
  <w:comment w:id="25" w:author="Unknown Author" w:date="2021-09-05T08:50:31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Varbūt pārsaukt uz vienkāršu/vienkāršāku modeļu izmantošanas analīze?</w:t>
      </w:r>
    </w:p>
  </w:comment>
  <w:comment w:id="26" w:author="Unknown Author" w:date="2021-09-05T01:02: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vēl jāpadomā kā labāk izskaidrot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ans-serif">
    <w:altName w:val="Arial"/>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65</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fals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fals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3.xml"/><Relationship Id="rId33" Type="http://schemas.openxmlformats.org/officeDocument/2006/relationships/footer" Target="footer4.xml"/><Relationship Id="rId34" Type="http://schemas.openxmlformats.org/officeDocument/2006/relationships/header" Target="head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Application>LibreOffice/6.4.6.2$Linux_X86_64 LibreOffice_project/40$Build-2</Application>
  <Pages>72</Pages>
  <Words>11408</Words>
  <Characters>76249</Characters>
  <CharactersWithSpaces>87277</CharactersWithSpaces>
  <Paragraphs>920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2021-09-05T21:17:00Z</dcterms:modified>
  <cp:revision>610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