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yebrow"/>
        <w:rPr/>
      </w:pPr>
      <w:r>
        <w:rPr/>
        <w:t>HIGH-FIDELITY DESIGN BRIEF · V1</w:t>
      </w:r>
    </w:p>
    <w:p>
      <w:pPr>
        <w:pStyle w:val="Title"/>
        <w:rPr/>
      </w:pPr>
      <w:r>
        <w:rPr/>
        <w:t>Economía para TodosDemo interactivo</w:t>
      </w:r>
    </w:p>
    <w:p>
      <w:pPr>
        <w:pStyle w:val="Normal"/>
        <w:rPr/>
      </w:pPr>
      <w:r>
        <w:rPr>
          <w:color w:val="667085"/>
          <w:sz w:val="24"/>
        </w:rPr>
        <w:t>Dirección visual y de experiencia para la generación en v0</w:t>
      </w:r>
    </w:p>
    <w:tbl>
      <w:tblPr>
        <w:tblW w:w="10166" w:type="dxa"/>
        <w:jc w:val="center"/>
        <w:tblInd w:w="0" w:type="dxa"/>
        <w:tblLayout w:type="fixed"/>
        <w:tblCellMar>
          <w:top w:w="125" w:type="dxa"/>
          <w:left w:w="150" w:type="dxa"/>
          <w:bottom w:w="125" w:type="dxa"/>
          <w:right w:w="150" w:type="dxa"/>
        </w:tblCellMar>
        <w:tblLook w:val="04a0" w:noHBand="0" w:noVBand="1" w:firstColumn="1" w:lastRow="0" w:lastColumn="0" w:firstRow="1"/>
      </w:tblPr>
      <w:tblGrid>
        <w:gridCol w:w="10166"/>
      </w:tblGrid>
      <w:tr>
        <w:trPr/>
        <w:tc>
          <w:tcPr>
            <w:tcW w:w="10166" w:type="dxa"/>
            <w:tcBorders/>
            <w:shd w:fill="EDF8F1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27AE60"/>
                <w:sz w:val="21"/>
              </w:rPr>
              <w:t>Propósito</w:t>
            </w:r>
          </w:p>
          <w:p>
            <w:pPr>
              <w:pStyle w:val="Normal"/>
              <w:spacing w:before="0" w:after="0"/>
              <w:rPr/>
            </w:pPr>
            <w:r>
              <w:rPr/>
              <w:t>Este documento define cómo debe verse, sentirse y comportarse visualmente el demo. No cambia el scope ni el flujo aprobado. Los wireframes v2 siguen siendo la autoridad de layout y navegación; este brief los convierte en una interfaz de alta fidelidad.</w:t>
            </w:r>
          </w:p>
        </w:tc>
      </w:tr>
    </w:tbl>
    <w:p>
      <w:pPr>
        <w:pStyle w:val="Heading1"/>
        <w:rPr/>
      </w:pPr>
      <w:r>
        <w:rPr/>
        <w:t>1. Jerarquía de fuentes de verdad</w:t>
      </w:r>
    </w:p>
    <w:tbl>
      <w:tblPr>
        <w:tblStyle w:val="TableGrid"/>
        <w:tblW w:w="10167" w:type="dxa"/>
        <w:jc w:val="center"/>
        <w:tblInd w:w="0" w:type="dxa"/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noHBand="0" w:noVBand="1" w:firstColumn="1" w:lastRow="0" w:lastColumn="0" w:firstRow="1"/>
      </w:tblPr>
      <w:tblGrid>
        <w:gridCol w:w="3389"/>
        <w:gridCol w:w="3389"/>
        <w:gridCol w:w="3389"/>
      </w:tblGrid>
      <w:tr>
        <w:trPr/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Prioridad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Documento / asset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Autoridad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Scope Freeze aprobado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Qué existe, qué no existe y finalidad del demo.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Wireframes v2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Estructura, navegación, orden, estados y posición relativa.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High-Fidelity Design Brief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Tipografía, color, densidad, componentes, motion y sensación visual.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Bolivia SVG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Geometría del mapa y paths por departamento.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Mock data (siguiente entregable)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Valores y consistencia numérica.</w:t>
            </w:r>
          </w:p>
        </w:tc>
      </w:tr>
    </w:tbl>
    <w:tbl>
      <w:tblPr>
        <w:tblW w:w="10166" w:type="dxa"/>
        <w:jc w:val="center"/>
        <w:tblInd w:w="0" w:type="dxa"/>
        <w:tblLayout w:type="fixed"/>
        <w:tblCellMar>
          <w:top w:w="125" w:type="dxa"/>
          <w:left w:w="150" w:type="dxa"/>
          <w:bottom w:w="125" w:type="dxa"/>
          <w:right w:w="150" w:type="dxa"/>
        </w:tblCellMar>
        <w:tblLook w:val="04a0" w:noHBand="0" w:noVBand="1" w:firstColumn="1" w:lastRow="0" w:lastColumn="0" w:firstRow="1"/>
      </w:tblPr>
      <w:tblGrid>
        <w:gridCol w:w="10166"/>
      </w:tblGrid>
      <w:tr>
        <w:trPr/>
        <w:tc>
          <w:tcPr>
            <w:tcW w:w="10166" w:type="dxa"/>
            <w:tcBorders/>
            <w:shd w:fill="EDF4FC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2F80ED"/>
                <w:sz w:val="21"/>
              </w:rPr>
              <w:t>Regla</w:t>
            </w:r>
          </w:p>
          <w:p>
            <w:pPr>
              <w:pStyle w:val="Normal"/>
              <w:spacing w:before="0" w:after="0"/>
              <w:rPr/>
            </w:pPr>
            <w:r>
              <w:rPr/>
              <w:t>Si dos documentos parecen contradecirse, no inventar una solución silenciosa. Mantener la estructura del wireframe y resolver solo el tratamiento visual. Las funcionalidades nuevas están fuera de alcance.</w:t>
            </w:r>
          </w:p>
        </w:tc>
      </w:tr>
    </w:tbl>
    <w:p>
      <w:pPr>
        <w:pStyle w:val="Heading1"/>
        <w:rPr/>
      </w:pPr>
      <w:r>
        <w:rPr/>
        <w:t>2. Dos públicos, dos lenguajes visuales</w:t>
      </w:r>
    </w:p>
    <w:tbl>
      <w:tblPr>
        <w:tblStyle w:val="TableGrid"/>
        <w:tblW w:w="10164" w:type="dxa"/>
        <w:jc w:val="center"/>
        <w:tblInd w:w="0" w:type="dxa"/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noHBand="0" w:noVBand="1" w:firstColumn="1" w:lastRow="0" w:lastColumn="0" w:firstRow="1"/>
      </w:tblPr>
      <w:tblGrid>
        <w:gridCol w:w="2541"/>
        <w:gridCol w:w="2541"/>
        <w:gridCol w:w="2541"/>
        <w:gridCol w:w="2540"/>
      </w:tblGrid>
      <w:tr>
        <w:trPr/>
        <w:tc>
          <w:tcPr>
            <w:tcW w:w="2541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Experiencia</w:t>
            </w:r>
          </w:p>
        </w:tc>
        <w:tc>
          <w:tcPr>
            <w:tcW w:w="2541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Usuario principal</w:t>
            </w:r>
          </w:p>
        </w:tc>
        <w:tc>
          <w:tcPr>
            <w:tcW w:w="2541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Objetivo perceptivo</w:t>
            </w:r>
          </w:p>
        </w:tc>
        <w:tc>
          <w:tcPr>
            <w:tcW w:w="2540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Lenguaje visual</w:t>
            </w:r>
          </w:p>
        </w:tc>
      </w:tr>
      <w:tr>
        <w:trPr/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App Emprendedora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Microemprendedores y trabajadores por cuenta propia; posible baja alfabetización digital.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"Entiendo qué hacer sin que nadie me enseñe."</w:t>
            </w:r>
          </w:p>
        </w:tc>
        <w:tc>
          <w:tcPr>
            <w:tcW w:w="2540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Grande, simple, cálida, directa, táctil, muy legible.</w:t>
            </w:r>
          </w:p>
        </w:tc>
      </w:tr>
      <w:tr>
        <w:trPr/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Gestión Nacional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Autoridades, SIN, BDP, ministerios, sector privado y equipo de programa.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"Puedo entender el estado nacional en segundos y profundizar donde importa."</w:t>
            </w:r>
          </w:p>
        </w:tc>
        <w:tc>
          <w:tcPr>
            <w:tcW w:w="2540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Moderna, flat, institucional, sobria, analítica, profesional.</w:t>
            </w:r>
          </w:p>
        </w:tc>
      </w:tr>
    </w:tbl>
    <w:p>
      <w:pPr>
        <w:pStyle w:val="Heading1"/>
        <w:rPr/>
      </w:pPr>
      <w:r>
        <w:rPr/>
        <w:t>3. Principios UX - App Emprendedora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Una acción principal clara por pantalla. Evitar CTAs competidores.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Todo elemento interactivo debe parecer interactivo: botones grandes, labels explícitos y estados visibles.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Lenguaje cotidiano. Evitar jerga tributaria, bancaria o institucional salvo que sea imprescindible.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Iconos siempre acompañados por texto. Nunca depender solo de un símbolo.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Lectura rápida: títulos cortos, montos grandes, información secundaria reducida.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Touch targets generosos: botones principales de 52-56 px de alto; controles secundarios nunca diminutos.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Inputs verticales con label persistente encima; no usar placeholder como único label.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Feedback inmediato después de acciones: verificación, registro exitoso, solicitud enviada.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No ocultar acciones esenciales detrás de gestos, menus hamburguesa o affordances sutiles.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Priorizar confianza y claridad por encima de densidad informativa o estética fintech sofisticada.</w:t>
      </w:r>
    </w:p>
    <w:tbl>
      <w:tblPr>
        <w:tblW w:w="10166" w:type="dxa"/>
        <w:jc w:val="center"/>
        <w:tblInd w:w="0" w:type="dxa"/>
        <w:tblLayout w:type="fixed"/>
        <w:tblCellMar>
          <w:top w:w="125" w:type="dxa"/>
          <w:left w:w="150" w:type="dxa"/>
          <w:bottom w:w="125" w:type="dxa"/>
          <w:right w:w="150" w:type="dxa"/>
        </w:tblCellMar>
        <w:tblLook w:val="04a0" w:noHBand="0" w:noVBand="1" w:firstColumn="1" w:lastRow="0" w:lastColumn="0" w:firstRow="1"/>
      </w:tblPr>
      <w:tblGrid>
        <w:gridCol w:w="10166"/>
      </w:tblGrid>
      <w:tr>
        <w:trPr/>
        <w:tc>
          <w:tcPr>
            <w:tcW w:w="10166" w:type="dxa"/>
            <w:tcBorders/>
            <w:shd w:fill="EDF8F1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27AE60"/>
                <w:sz w:val="21"/>
              </w:rPr>
              <w:t>Usuario objetivo</w:t>
            </w:r>
          </w:p>
          <w:p>
            <w:pPr>
              <w:pStyle w:val="Normal"/>
              <w:spacing w:before="0" w:after="0"/>
              <w:rPr/>
            </w:pPr>
            <w:r>
              <w:rPr/>
              <w:t>Diseñar como si María utilizara un Android económico, tuviera poca experiencia con apps financieras y dispusiera de pocos minutos. La interfaz debe poder comprenderse sin entrenamiento.</w:t>
            </w:r>
          </w:p>
        </w:tc>
      </w:tr>
    </w:tbl>
    <w:p>
      <w:pPr>
        <w:pStyle w:val="Heading1"/>
        <w:rPr/>
      </w:pPr>
      <w:r>
        <w:rPr/>
        <w:t>4. Sistema visual global</w:t>
      </w:r>
    </w:p>
    <w:tbl>
      <w:tblPr>
        <w:tblStyle w:val="TableGrid"/>
        <w:tblW w:w="10167" w:type="dxa"/>
        <w:jc w:val="center"/>
        <w:tblInd w:w="0" w:type="dxa"/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noHBand="0" w:noVBand="1" w:firstColumn="1" w:lastRow="0" w:lastColumn="0" w:firstRow="1"/>
      </w:tblPr>
      <w:tblGrid>
        <w:gridCol w:w="3389"/>
        <w:gridCol w:w="3389"/>
        <w:gridCol w:w="3389"/>
      </w:tblGrid>
      <w:tr>
        <w:trPr/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Token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Valor recomendado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Font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Inter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Toda la aplicación. Sans-serif neutra, muy legible.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Primary / institucional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#123B6D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Headers, identidad, énfasis institucional.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Action blue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#2F80ED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CTA principal, links, foco interactivo.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Success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#27AE60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Estados positivos, checks, semáforo verde.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Warm accent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#D4A72C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Énfasis selectivo; nunca decoración masiva.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Text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#1F2937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Texto principal.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Muted text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#667085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Metadatos y texto secundario.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App surface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#F8FAFC / #FFFFFF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Fondos y superficies de María.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Dashboard background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#F7F9FC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Fondo de Gestión Nacional.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Border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#E2E8F0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Separación de cards, inputs y paneles.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Danger / red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#C7473A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Semáforo rojo y error.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Warning / amber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#C98A17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Semáforo amarillo y atención.</w:t>
            </w:r>
          </w:p>
        </w:tc>
      </w:tr>
    </w:tbl>
    <w:p>
      <w:pPr>
        <w:pStyle w:val="Heading2"/>
        <w:rPr/>
      </w:pPr>
      <w:r>
        <w:rPr/>
        <w:t>4.1 Tipografía y escala</w:t>
      </w:r>
    </w:p>
    <w:tbl>
      <w:tblPr>
        <w:tblStyle w:val="TableGrid"/>
        <w:tblW w:w="10167" w:type="dxa"/>
        <w:jc w:val="center"/>
        <w:tblInd w:w="0" w:type="dxa"/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noHBand="0" w:noVBand="1" w:firstColumn="1" w:lastRow="0" w:lastColumn="0" w:firstRow="1"/>
      </w:tblPr>
      <w:tblGrid>
        <w:gridCol w:w="3389"/>
        <w:gridCol w:w="3389"/>
        <w:gridCol w:w="3389"/>
      </w:tblGrid>
      <w:tr>
        <w:trPr/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App María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Gestión Nacional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Display / cifra protagonista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30-34 px, 700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30-36 px, 700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H1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26-28 px, 700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26-30 px, 700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H2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21-22 px, 650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20-22 px, 650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Body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17-18 px, 400/500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14-16 px, 400/500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Label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15-16 px, 600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13-14 px, 600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Caption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14 px mínimo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12-13 px</w:t>
            </w:r>
          </w:p>
        </w:tc>
      </w:tr>
    </w:tbl>
    <w:p>
      <w:pPr>
        <w:pStyle w:val="Heading2"/>
        <w:rPr/>
      </w:pPr>
      <w:r>
        <w:rPr/>
        <w:t>4.2 Shape, spacing e iconografía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Usar grid base de 4 px, con espaciado predominante 8 / 12 / 16 / 24 / 32.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Radius del device frame: 30-32 px. Cards móviles: 14-18 px. Dashboard: 10-14 px.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Sombras mínimas y suaves. Preferir border + contraste de superficie antes que shadow fuerte.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Iconos Lucide, trazo consistente, 24-28 px en María y 18-22 px en dashboard.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No usar glassmorphism, glow, blur decorativo, gradients fuertes, blobs, neumorphism ni ilustraciones SaaS genéricas.</w:t>
      </w:r>
    </w:p>
    <w:p>
      <w:pPr>
        <w:pStyle w:val="Heading1"/>
        <w:rPr/>
      </w:pPr>
      <w:r>
        <w:rPr/>
        <w:t>5. Shell de presentación - App Emprendedora</w:t>
      </w:r>
    </w:p>
    <w:tbl>
      <w:tblPr>
        <w:tblW w:w="10166" w:type="dxa"/>
        <w:jc w:val="center"/>
        <w:tblInd w:w="0" w:type="dxa"/>
        <w:tblLayout w:type="fixed"/>
        <w:tblCellMar>
          <w:top w:w="125" w:type="dxa"/>
          <w:left w:w="150" w:type="dxa"/>
          <w:bottom w:w="125" w:type="dxa"/>
          <w:right w:w="150" w:type="dxa"/>
        </w:tblCellMar>
        <w:tblLook w:val="04a0" w:noHBand="0" w:noVBand="1" w:firstColumn="1" w:lastRow="0" w:lastColumn="0" w:firstRow="1"/>
      </w:tblPr>
      <w:tblGrid>
        <w:gridCol w:w="10166"/>
      </w:tblGrid>
      <w:tr>
        <w:trPr/>
        <w:tc>
          <w:tcPr>
            <w:tcW w:w="10166" w:type="dxa"/>
            <w:tcBorders/>
            <w:shd w:fill="EDF4FC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2F80ED"/>
                <w:sz w:val="21"/>
              </w:rPr>
              <w:t>Formato</w:t>
            </w:r>
          </w:p>
          <w:p>
            <w:pPr>
              <w:pStyle w:val="Normal"/>
              <w:spacing w:before="0" w:after="0"/>
              <w:rPr/>
            </w:pPr>
            <w:r>
              <w:rPr/>
              <w:t>El navegador permanece siempre en desktop. La experiencia móvil vive dentro de un device frame centrado sobre un fondo casi negro. No debe parecer DevTools ni emulador de navegador.</w:t>
            </w:r>
          </w:p>
        </w:tc>
      </w:tr>
    </w:tbl>
    <w:tbl>
      <w:tblPr>
        <w:tblStyle w:val="TableGrid"/>
        <w:tblW w:w="10166" w:type="dxa"/>
        <w:jc w:val="center"/>
        <w:tblInd w:w="0" w:type="dxa"/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noHBand="0" w:noVBand="1" w:firstColumn="1" w:lastRow="0" w:lastColumn="0" w:firstRow="1"/>
      </w:tblPr>
      <w:tblGrid>
        <w:gridCol w:w="5083"/>
        <w:gridCol w:w="5082"/>
      </w:tblGrid>
      <w:tr>
        <w:trPr/>
        <w:tc>
          <w:tcPr>
            <w:tcW w:w="5083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5082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Especificación visual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Fondo exterior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#0A0A0B o negro neutro; sin textura ni decoración.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Device frame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Aprox. 410 px de ancho x 820 px de alto en viewport de presentación; max-height adaptativo para no cortar.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Marco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Sin dibujo de iPhone realista. Solo contenedor limpio, radius 30-32 px, borde/sombra muy discreta.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Surface interna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#F8FAFC / blanco.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Padding horizontal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20-24 px.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Header móvil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Simple; evitar barras complejas. Back button solo cuando sea necesario.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Bottom nav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Inicio | Perfil | Ajustes. 3 ítems, icono + label, hit area amplia.</w:t>
            </w:r>
          </w:p>
        </w:tc>
      </w:tr>
    </w:tbl>
    <w:p>
      <w:pPr>
        <w:pStyle w:val="Heading1"/>
        <w:rPr/>
      </w:pPr>
      <w:r>
        <w:rPr/>
        <w:t>6. Tratamiento por pantalla - María</w:t>
      </w:r>
    </w:p>
    <w:tbl>
      <w:tblPr>
        <w:tblStyle w:val="TableGrid"/>
        <w:tblW w:w="10166" w:type="dxa"/>
        <w:jc w:val="center"/>
        <w:tblInd w:w="0" w:type="dxa"/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noHBand="0" w:noVBand="1" w:firstColumn="1" w:lastRow="0" w:lastColumn="0" w:firstRow="1"/>
      </w:tblPr>
      <w:tblGrid>
        <w:gridCol w:w="5083"/>
        <w:gridCol w:w="5082"/>
      </w:tblGrid>
      <w:tr>
        <w:trPr/>
        <w:tc>
          <w:tcPr>
            <w:tcW w:w="5083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Pantalla</w:t>
            </w:r>
          </w:p>
        </w:tc>
        <w:tc>
          <w:tcPr>
            <w:tcW w:w="5082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Dirección high-fidelity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 Landing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Headline de 2-3 líneas máximo; beneficios resumidos en una frase; un único CTA full-width "Crear mi Libreta Digital". "Ya estoy registrado" como acción secundaria discreta.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 Registro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Campos VACÍOS. Labels grandes y persistentes. 4 inputs verticales. Botón "Confirmar registro" full-width. El presentador escribe los datos manualmente.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 Registro exitoso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Mucho espacio en blanco, check grande, "Tu Libreta está lista", tiempo de registro visible como dato secundario. CTA "Ver mi Libreta".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4 Mi Libreta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Credencial digital limpia, no imitar documento oficial. Nombre, actividad, ubicación, estado Activa y QR protagonista. Botón "Continuar".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5 Inicio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"Buenos días, María" + resumen de negocio. CTA explícito "Ver cómo se utiliza mi aporte". Cuatro beneficios grandes en grid 2x2 con icono + estado resumido.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 Mi aporte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Montos legibles, desglose simple, una sola cifra "Valor estimado recibido: Bs 485" y comparación visual Aporte vs. Beneficios. Evitar charts complejos.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7 Crédito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Checklist de señales positivas + monto "Hasta Bs 12.000" protagonista. CTA "Solicitar evaluación". Estado de éxito breve después del click.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8 Protección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Pantalla de lectura rápida: cobertura/seguro activo y previsión. No desarrollar navegación adicional.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9 Capacitación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2-3 programas como filas/cards simples; estado/progreso solo si ayuda. Evitar LMS completo.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10 Oportunidades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2-3 oportunidades públicas/privadas mock. Nombre, tipo, monto o beneficio, compatibilidad y CTA "Ver oportunidad". No afirmar API/fuente real.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Perfil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Pantalla de soporte, no parte del recorrido principal. Datos personales + acceso a Mi Libreta Digital.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Ajustes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Pantalla de soporte, no parte del recorrido principal. Tema, teléfono, actividad, notificaciones. Sin opciones administrativas complejas.</w:t>
            </w:r>
          </w:p>
        </w:tc>
      </w:tr>
    </w:tbl>
    <w:p>
      <w:pPr>
        <w:pStyle w:val="Heading1"/>
        <w:rPr/>
      </w:pPr>
      <w:r>
        <w:rPr/>
        <w:t>7. Motion y transición María -&gt; escala nacional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Las microinteracciones móviles deben durar ~150-250 ms y sentirse sobrias.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Hover no es central en María; feedback de tap/press sí.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No animar números o cards constantemente.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La transición principal es parte del guion y debe respetarse exactamente.</w:t>
      </w:r>
    </w:p>
    <w:tbl>
      <w:tblPr>
        <w:tblStyle w:val="TableGrid"/>
        <w:tblW w:w="10167" w:type="dxa"/>
        <w:jc w:val="center"/>
        <w:tblInd w:w="0" w:type="dxa"/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noHBand="0" w:noVBand="1" w:firstColumn="1" w:lastRow="0" w:lastColumn="0" w:firstRow="1"/>
      </w:tblPr>
      <w:tblGrid>
        <w:gridCol w:w="3389"/>
        <w:gridCol w:w="3389"/>
        <w:gridCol w:w="3389"/>
      </w:tblGrid>
      <w:tr>
        <w:trPr/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Visual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Timing objetivo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Device frame + fondo negro hacen fade y la pantalla completa termina blanca.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~1,5 s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Texto centrado: "Esa fue solo María...".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Fade ~1,5 s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Texto centrado: "¿Qué sucede cuando son 200.000 Marías?".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Fade ~1,5 s; permanece ~1 s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El texto desaparece y entra Gestión Nacional a ancho completo.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Fade ~1,5 s</w:t>
            </w:r>
          </w:p>
        </w:tc>
      </w:tr>
    </w:tbl>
    <w:tbl>
      <w:tblPr>
        <w:tblW w:w="10166" w:type="dxa"/>
        <w:jc w:val="center"/>
        <w:tblInd w:w="0" w:type="dxa"/>
        <w:tblLayout w:type="fixed"/>
        <w:tblCellMar>
          <w:top w:w="125" w:type="dxa"/>
          <w:left w:w="150" w:type="dxa"/>
          <w:bottom w:w="125" w:type="dxa"/>
          <w:right w:w="150" w:type="dxa"/>
        </w:tblCellMar>
        <w:tblLook w:val="04a0" w:noHBand="0" w:noVBand="1" w:firstColumn="1" w:lastRow="0" w:lastColumn="0" w:firstRow="1"/>
      </w:tblPr>
      <w:tblGrid>
        <w:gridCol w:w="10166"/>
      </w:tblGrid>
      <w:tr>
        <w:trPr/>
        <w:tc>
          <w:tcPr>
            <w:tcW w:w="10166" w:type="dxa"/>
            <w:tcBorders/>
            <w:shd w:fill="EDF4FC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2F80ED"/>
                <w:sz w:val="21"/>
              </w:rPr>
              <w:t>Control de presentación</w:t>
            </w:r>
          </w:p>
          <w:p>
            <w:pPr>
              <w:pStyle w:val="Normal"/>
              <w:spacing w:before="0" w:after="0"/>
              <w:rPr/>
            </w:pPr>
            <w:r>
              <w:rPr/>
              <w:t>La transición se activa mediante un control discreto/oculto destinado al presentador. No debe parecer una funcionalidad normal de la app de María.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8. Gestión Nacional - dirección visual</w:t>
      </w:r>
    </w:p>
    <w:tbl>
      <w:tblPr>
        <w:tblW w:w="10166" w:type="dxa"/>
        <w:jc w:val="center"/>
        <w:tblInd w:w="0" w:type="dxa"/>
        <w:tblLayout w:type="fixed"/>
        <w:tblCellMar>
          <w:top w:w="125" w:type="dxa"/>
          <w:left w:w="150" w:type="dxa"/>
          <w:bottom w:w="125" w:type="dxa"/>
          <w:right w:w="150" w:type="dxa"/>
        </w:tblCellMar>
        <w:tblLook w:val="04a0" w:noHBand="0" w:noVBand="1" w:firstColumn="1" w:lastRow="0" w:lastColumn="0" w:firstRow="1"/>
      </w:tblPr>
      <w:tblGrid>
        <w:gridCol w:w="10166"/>
      </w:tblGrid>
      <w:tr>
        <w:trPr/>
        <w:tc>
          <w:tcPr>
            <w:tcW w:w="10166" w:type="dxa"/>
            <w:tcBorders/>
            <w:shd w:fill="EDF8F1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27AE60"/>
                <w:sz w:val="21"/>
              </w:rPr>
              <w:t>Personalidad visual</w:t>
            </w:r>
          </w:p>
          <w:p>
            <w:pPr>
              <w:pStyle w:val="Normal"/>
              <w:spacing w:before="0" w:after="0"/>
              <w:rPr/>
            </w:pPr>
            <w:r>
              <w:rPr/>
              <w:t>Flat institutional analytics: moderna y ejecutiva, sin aspecto de portal estatal antiguo, sin saturación de BI corporativo y sin estética futurista de "command center".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Fondo claro #F7F9FC y superficies blancas con borders sutiles.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Color usado con propósito: selección, estado, semáforos y énfasis. No colorear todo el dashboard.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Densidad media-baja: la audiencia debe leer KPIs y mapa desde una sala.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Seis KPI cards sí; evitar convertir filtros, mapa y cada dato en otra card anidada.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Números muy prominentes; labels pequeños pero siempre legibles.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No usar sidebar grande. La navegación secundaria es horizontal: Resumen | Desempeño.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Etiqueta "Datos de demostración" visible pero discreta en header.</w:t>
      </w:r>
    </w:p>
    <w:p>
      <w:pPr>
        <w:pStyle w:val="Heading2"/>
        <w:rPr/>
      </w:pPr>
      <w:r>
        <w:rPr/>
        <w:t>8.1 Resumen nacional</w:t>
      </w:r>
    </w:p>
    <w:tbl>
      <w:tblPr>
        <w:tblStyle w:val="TableGrid"/>
        <w:tblW w:w="10166" w:type="dxa"/>
        <w:jc w:val="center"/>
        <w:tblInd w:w="0" w:type="dxa"/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noHBand="0" w:noVBand="1" w:firstColumn="1" w:lastRow="0" w:lastColumn="0" w:firstRow="1"/>
      </w:tblPr>
      <w:tblGrid>
        <w:gridCol w:w="5083"/>
        <w:gridCol w:w="5082"/>
      </w:tblGrid>
      <w:tr>
        <w:trPr/>
        <w:tc>
          <w:tcPr>
            <w:tcW w:w="5083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Zona</w:t>
            </w:r>
          </w:p>
        </w:tc>
        <w:tc>
          <w:tcPr>
            <w:tcW w:w="5082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Tratamiento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Header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ECONOMÍA PARA TODOS + subtítulo Centro Nacional de Gestión. "Datos de demostración" alineado a la derecha.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Tabs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Resumen | Desempeño. Indicador activo simple: underline o pill muy sutil.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Breadcrumb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Debajo de tabs: Bolivia; al filtrar, Bolivia &gt; La Paz &gt; Textiles.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Columna izquierda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Grid 2 x 3 con seis KPIs fijos: Personas registradas, Contribuyentes activos, Recaudación, Capital movilizado, Créditos otorgados, Personas con protección.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Columna derecha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Mapa SVG de Bolivia grande, visualmente protagonista.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Filtros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Fila debajo de los KPIs: Departamento, Sector, Sexo, Edad. Selects compactos pero cómodos.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Reset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"Restablecer filtros" visible solo cuando haya filtros activos o con tratamiento secundario.</w:t>
            </w:r>
          </w:p>
        </w:tc>
      </w:tr>
    </w:tbl>
    <w:p>
      <w:pPr>
        <w:pStyle w:val="Heading2"/>
        <w:rPr/>
      </w:pPr>
      <w:r>
        <w:rPr/>
        <w:t>8.2 Mapa SVG de Bolivia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Usar exclusivamente el asset bolivia-departments.svg adjunto; no redibujar ni sustituir la geometría.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Cada departamento debe conservar su id individual y responder a hover/click.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Estado base: todos los departamentos en una escala neutra de azul muy claro o gris azulado.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Hover: departamento sube 1 nivel de énfasis, cursor pointer y tooltip flotante con nombre + 2-3 KPIs.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Selected: departamento queda claramente resaltado; los demás reducen suavemente su énfasis/opacidad.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No usar nueve colores categóricos distintos. Una misma familia visual mantiene el tono institucional.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Tooltip: superficie blanca, border sutil, shadow breve, sin tapar innecesariamente el mapa.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La selección debe actualizar simultáneamente breadcrumb, filtros y los seis KPI cards.</w:t>
      </w:r>
    </w:p>
    <w:p>
      <w:pPr>
        <w:pStyle w:val="Heading2"/>
        <w:rPr/>
      </w:pPr>
      <w:r>
        <w:rPr/>
        <w:t>8.3 Desempeño</w:t>
      </w:r>
    </w:p>
    <w:tbl>
      <w:tblPr>
        <w:tblStyle w:val="TableGrid"/>
        <w:tblW w:w="10167" w:type="dxa"/>
        <w:jc w:val="center"/>
        <w:tblInd w:w="0" w:type="dxa"/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noHBand="0" w:noVBand="1" w:firstColumn="1" w:lastRow="0" w:lastColumn="0" w:firstRow="1"/>
      </w:tblPr>
      <w:tblGrid>
        <w:gridCol w:w="3389"/>
        <w:gridCol w:w="3389"/>
        <w:gridCol w:w="3389"/>
      </w:tblGrid>
      <w:tr>
        <w:trPr/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Zona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Estado inicial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Estado con métrica seleccionada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Izquierda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Lista de 5 métricas con nombre, porcentaje y estado Verde/Amarillo/Rojo.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La métrica seleccionada recibe borde/fondo de selección, sin desplazar el layout.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Derecha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Empty state: "Explora el desempeño del programa" + instrucción para seleccionar un indicador.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Panel de lectura territorial/sectorial; por ejemplo, Acceso a mercados con Potosí, Oruro, Chuquisaca y La Paz.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Semáforos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Color + texto de estado; nunca depender solo del color.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Mantener la misma regla.</w:t>
            </w:r>
          </w:p>
        </w:tc>
      </w:tr>
    </w:tbl>
    <w:p>
      <w:pPr>
        <w:pStyle w:val="Heading1"/>
        <w:rPr/>
      </w:pPr>
      <w:r>
        <w:rPr/>
        <w:t>9. Accesibilidad y robustez de demo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Contraste suficiente en texto, botones y estados. No usar gris demasiado tenue para información esencial.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Focus states visibles en inputs/selects aunque el demo se opere con mouse.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No depender solo del color para Verde/Amarillo/Rojo: acompañar con label textual.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Evitar scroll horizontal en cualquier estado.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El device frame debe caber completo en una pantalla de presentación 16:9 habitual; si la altura es menor, escalarlo proporcionalmente sin usar DevTools.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No mostrar loaders reales prolongados; las acciones mock responden de inmediato o con delay corto deliberado (&lt;500 ms).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No dejar botones muertos en el click path oficial.</w:t>
      </w:r>
    </w:p>
    <w:p>
      <w:pPr>
        <w:pStyle w:val="Heading1"/>
        <w:rPr/>
      </w:pPr>
      <w:r>
        <w:rPr/>
        <w:t>10. Do / Do not</w:t>
      </w:r>
    </w:p>
    <w:tbl>
      <w:tblPr>
        <w:tblStyle w:val="TableGrid"/>
        <w:tblW w:w="10166" w:type="dxa"/>
        <w:jc w:val="center"/>
        <w:tblInd w:w="0" w:type="dxa"/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noHBand="0" w:noVBand="1" w:firstColumn="1" w:lastRow="0" w:lastColumn="0" w:firstRow="1"/>
      </w:tblPr>
      <w:tblGrid>
        <w:gridCol w:w="5083"/>
        <w:gridCol w:w="5082"/>
      </w:tblGrid>
      <w:tr>
        <w:trPr>
          <w:trHeight w:val="356" w:hRule="atLeast"/>
        </w:trPr>
        <w:tc>
          <w:tcPr>
            <w:tcW w:w="5083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DO</w:t>
            </w:r>
          </w:p>
        </w:tc>
        <w:tc>
          <w:tcPr>
            <w:tcW w:w="5082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DO NOT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Grandes zonas de clic y labels claros.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Iconos pequeños sin texto.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Jerarquía visual evidente y whitespace.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Densidad tipo ERP/BI en la app de María.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Flat, profesional y sobrio en Gestión Nacional.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Glassmorphism, glow, gradients intensos.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Borders suaves y sombras mínimas.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Cards elevadas con sombras pesadas en todas partes.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Una familia de azul con colores semánticos.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Arcoíris de departamentos o gráficos decorativos.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Transición principal cinematográfica pero sobria.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Animaciones continuas o distractoras.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Wireframes como constraint de layout.</w:t>
            </w:r>
          </w:p>
        </w:tc>
        <w:tc>
          <w:tcPr>
            <w:tcW w:w="5082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"Mejorar" el flujo agregando features no solicitadas.</w:t>
            </w:r>
          </w:p>
        </w:tc>
      </w:tr>
    </w:tbl>
    <w:p>
      <w:pPr>
        <w:pStyle w:val="Heading1"/>
        <w:rPr/>
      </w:pPr>
      <w:r>
        <w:rPr/>
        <w:t>11. Criterios visuales de aprobación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</w:t>
      </w:r>
      <w:r>
        <w:rPr/>
        <w:t>La app de María se entiende a distancia y parece usable por una persona con baja familiaridad tecnológica.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</w:t>
      </w:r>
      <w:r>
        <w:rPr/>
        <w:t>El registro se ve real y tiene campos vacíos, no datos precargados.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</w:t>
      </w:r>
      <w:r>
        <w:rPr/>
        <w:t>El Home permite identificar aporte + cuatro beneficios en menos de 5 segundos.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</w:t>
      </w:r>
      <w:r>
        <w:rPr/>
        <w:t>La Libreta se percibe como credencial digital del programa sin imitar una cédula oficial.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</w:t>
      </w:r>
      <w:r>
        <w:rPr/>
        <w:t>La transición a blanco se siente intencional y fluida, no como cambio de página roto.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</w:t>
      </w:r>
      <w:r>
        <w:rPr/>
        <w:t>El Dashboard Nacional se percibe moderno, institucional y limpio.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</w:t>
      </w:r>
      <w:r>
        <w:rPr/>
        <w:t>El mapa de Bolivia es protagonista y el hover/selected se entienden sin explicación.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</w:t>
      </w:r>
      <w:r>
        <w:rPr/>
        <w:t>Los seis KPIs mantienen nombre y posición al aplicar filtros.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</w:t>
      </w:r>
      <w:r>
        <w:rPr/>
        <w:t>Desempeño tiene un empty state claro antes de seleccionar una métrica.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</w:t>
      </w:r>
      <w:r>
        <w:rPr/>
        <w:t>No hay elementos visuales que hagan parecer el demo una plantilla SaaS genérica.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37" w:right="1037" w:gutter="0" w:header="720" w:top="893" w:footer="720" w:bottom="8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4"/>
      </w:rPr>
      <w:t>Economía para Todos · Demo conceptual · Chemonics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4"/>
      </w:rPr>
      <w:t>Economía para Todos · Demo conceptual · Chemonics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667085"/>
        <w:sz w:val="15"/>
      </w:rPr>
      <w:t>ECONOMÍA PARA TODOS · HIGH-FIDELITY DESIGN BRIEF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667085"/>
        <w:sz w:val="15"/>
      </w:rPr>
      <w:t>ECONOMÍA PARA TODOS · HIGH-FIDELITY DESIGN BRIEF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100"/>
      <w:jc w:val="left"/>
    </w:pPr>
    <w:rPr>
      <w:rFonts w:ascii="Aptos" w:hAnsi="Aptos" w:eastAsia="ＭＳ 明朝" w:cs=""/>
      <w:color w:val="1F2937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23B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23B6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23B6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Eyebrow" w:customStyle="1">
    <w:name w:val="Eyebrow"/>
    <w:qFormat/>
    <w:pPr>
      <w:widowControl/>
      <w:bidi w:val="0"/>
      <w:spacing w:lineRule="auto" w:line="276" w:before="0" w:after="60"/>
      <w:jc w:val="left"/>
    </w:pPr>
    <w:rPr>
      <w:rFonts w:ascii="Aptos" w:hAnsi="Aptos" w:eastAsia="ＭＳ 明朝" w:cs=""/>
      <w:b/>
      <w:color w:val="2F80ED"/>
      <w:kern w:val="0"/>
      <w:sz w:val="16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8</Pages>
  <Words>1912</Words>
  <Characters>10885</Characters>
  <CharactersWithSpaces>12471</CharactersWithSpaces>
  <Paragraphs>275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2026-08-08T02:55:34Z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