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yebrow"/>
        <w:rPr/>
      </w:pPr>
      <w:r>
        <w:rPr/>
        <w:t>SCOPE FREEZE · V1</w:t>
      </w:r>
    </w:p>
    <w:p>
      <w:pPr>
        <w:pStyle w:val="Title"/>
        <w:rPr/>
      </w:pPr>
      <w:r>
        <w:rPr/>
        <w:t>Economía para Todos</w:t>
        <w:br/>
        <w:t>Demo interactivo</w:t>
      </w:r>
    </w:p>
    <w:p>
      <w:pPr>
        <w:pStyle w:val="Normal"/>
        <w:spacing w:before="0" w:after="200"/>
        <w:rPr/>
      </w:pPr>
      <w:r>
        <w:rPr>
          <w:color w:val="5B6573"/>
          <w:sz w:val="24"/>
        </w:rPr>
        <w:t>Alcance funcional y narrativo congelado antes de wireframes y construcción en v0</w:t>
      </w:r>
    </w:p>
    <w:p>
      <w:pPr>
        <w:pStyle w:val="Normal"/>
        <w:pBdr>
          <w:bottom w:val="single" w:sz="18" w:space="1" w:color="2F80ED"/>
        </w:pBdr>
        <w:spacing w:before="0" w:after="140"/>
        <w:rPr/>
      </w:pPr>
      <w:r>
        <w:rPr/>
      </w:r>
    </w:p>
    <w:tbl>
      <w:tblPr>
        <w:tblStyle w:val="TableGrid"/>
        <w:tblW w:w="10166" w:type="dxa"/>
        <w:jc w:val="left"/>
        <w:tblInd w:w="-18" w:type="dxa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/>
        <w:tc>
          <w:tcPr>
            <w:tcW w:w="5083" w:type="dxa"/>
            <w:tcBorders/>
            <w:shd w:fill="EAF2FB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23B6D"/>
                <w:kern w:val="0"/>
                <w:szCs w:val="22"/>
                <w:lang w:val="en-US" w:eastAsia="en-US" w:bidi="ar-SA"/>
              </w:rPr>
              <w:t>Audiencia objetivo</w:t>
            </w:r>
          </w:p>
        </w:tc>
        <w:tc>
          <w:tcPr>
            <w:tcW w:w="5082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Viceministerios · BDP · SIN · Confederación de Empresarios · autoridades nacionales</w:t>
            </w:r>
          </w:p>
        </w:tc>
      </w:tr>
      <w:tr>
        <w:trPr/>
        <w:tc>
          <w:tcPr>
            <w:tcW w:w="5083" w:type="dxa"/>
            <w:tcBorders/>
            <w:shd w:fill="EAF2FB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23B6D"/>
                <w:kern w:val="0"/>
                <w:szCs w:val="22"/>
                <w:lang w:val="en-US" w:eastAsia="en-US" w:bidi="ar-SA"/>
              </w:rPr>
              <w:t>Formato de demo</w:t>
            </w:r>
          </w:p>
        </w:tc>
        <w:tc>
          <w:tcPr>
            <w:tcW w:w="5082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React web a pantalla completa, navegable en vivo, con datos mock</w:t>
            </w:r>
          </w:p>
        </w:tc>
      </w:tr>
      <w:tr>
        <w:trPr/>
        <w:tc>
          <w:tcPr>
            <w:tcW w:w="5083" w:type="dxa"/>
            <w:tcBorders/>
            <w:shd w:fill="EAF2FB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23B6D"/>
                <w:kern w:val="0"/>
                <w:szCs w:val="22"/>
                <w:lang w:val="en-US" w:eastAsia="en-US" w:bidi="ar-SA"/>
              </w:rPr>
              <w:t>Construcción UI</w:t>
            </w:r>
          </w:p>
        </w:tc>
        <w:tc>
          <w:tcPr>
            <w:tcW w:w="5082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v0 by Vercel como herramienta principal para generar pantallas, componentes y código</w:t>
            </w:r>
          </w:p>
        </w:tc>
      </w:tr>
      <w:tr>
        <w:trPr/>
        <w:tc>
          <w:tcPr>
            <w:tcW w:w="5083" w:type="dxa"/>
            <w:tcBorders/>
            <w:shd w:fill="EAF2FB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23B6D"/>
                <w:kern w:val="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5082" w:type="dxa"/>
            <w:tcBorders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Alcance congelado para pasar a wireframes; no es especificación de arquitectura productiva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16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BF7F0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27AE60"/>
                <w:sz w:val="21"/>
              </w:rPr>
              <w:t>Principio rector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El demo no intenta representar toda la plataforma futura. Su función es contar, de forma visual y creíble, una historia completa: una emprendedora se incorpora, recibe valor y genera actividad; esa misma actividad, multiplicada a escala nacional, se convierte en información de gestión para el Estado y el ecosistema.</w:t>
            </w:r>
          </w:p>
        </w:tc>
      </w:tr>
    </w:tbl>
    <w:p>
      <w:pPr>
        <w:pStyle w:val="Normal"/>
        <w:spacing w:before="240" w:after="100"/>
        <w:rPr/>
      </w:pPr>
      <w:r>
        <w:rPr>
          <w:b/>
          <w:color w:val="123B6D"/>
        </w:rPr>
        <w:t>Base conceptual</w:t>
      </w:r>
    </w:p>
    <w:p>
      <w:pPr>
        <w:pStyle w:val="Normal"/>
        <w:rPr/>
      </w:pPr>
      <w:r>
        <w:rPr/>
        <w:t>Este alcance se basa en la propuesta integrada “Economía para Todos”, especialmente en la Libreta Digital, la integración de identidad/servicios financieros/protección/mercados, y los indicadores de seguimiento nacional. Las cifras del demo serán ficticias y estarán identificadas como datos de demostración.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1. Objetivo del demo</w:t>
      </w:r>
    </w:p>
    <w:p>
      <w:pPr>
        <w:pStyle w:val="Normal"/>
        <w:rPr/>
      </w:pPr>
      <w:r>
        <w:rPr/>
        <w:t>Hacer tangible la oferta de Chemonics mostrando cómo podría operar Economía para Todos desde dos perspectivas conectadas: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Experiencia del emprendedor: incorporación simple, Libreta Digital, aporte visible y acceso a beneficios.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Gestión nacional: KPIs, mapa territorial, filtros, desempeño y capacidad de seguimiento del programa.</w:t>
      </w:r>
    </w:p>
    <w:tbl>
      <w:tblPr>
        <w:tblW w:w="1016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AF2FB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2F80ED"/>
                <w:sz w:val="21"/>
              </w:rPr>
              <w:t>Lo que debe entender la audiencia al terminar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Chemonics no está mostrando solamente una app: está mostrando una capa digital capaz de articular al emprendedor con SIN, BDP, ministerios, servicios, mercados y mecanismos de seguimiento nacional.</w:t>
            </w:r>
          </w:p>
        </w:tc>
      </w:tr>
    </w:tbl>
    <w:p>
      <w:pPr>
        <w:pStyle w:val="Heading1"/>
        <w:rPr/>
      </w:pPr>
      <w:r>
        <w:rPr/>
        <w:t>2. Formato de presentación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PowerPoint se utiliza para la propuesta política/económica y para introducir el bloque de demostración.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Un botón en PowerPoint abre el demo React en navegador a pantalla completa.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Todo el recorrido del demo ocurre en una sola aplicación web; no se alterna repetidamente entre PowerPoint y navegador.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 parte de la emprendedora se presenta dentro de un device frame móvil centrado sobre fondo negro, pero el navegador permanece siempre en desktop.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 transición a gestión nacional sucede dentro de React y termina en un dashboard desktop a ancho completo.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se utilizan videos como eje del demo. El impacto proviene de la interacción real: escribir, hacer clic, filtrar y ver respuestas inmediatas.</w:t>
      </w:r>
    </w:p>
    <w:p>
      <w:pPr>
        <w:pStyle w:val="Heading1"/>
        <w:rPr/>
      </w:pPr>
      <w:r>
        <w:rPr/>
        <w:t>3. Personaje y escenario base</w:t>
      </w:r>
    </w:p>
    <w:tbl>
      <w:tblPr>
        <w:tblStyle w:val="TableGrid"/>
        <w:tblW w:w="101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>
          <w:tblHeader w:val="true"/>
        </w:trPr>
        <w:tc>
          <w:tcPr>
            <w:tcW w:w="5083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Dato</w:t>
            </w:r>
          </w:p>
        </w:tc>
        <w:tc>
          <w:tcPr>
            <w:tcW w:w="5082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Valor mock base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Nombre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María Quispe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Ubicación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 Alto, La Paz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Actividad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Confección textil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Ventas mensuales aproximadas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Bs 8.500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Situación inicial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Informal / fuera del ecosistema</w:t>
            </w:r>
          </w:p>
        </w:tc>
      </w:tr>
    </w:tbl>
    <w:p>
      <w:pPr>
        <w:pStyle w:val="Normal"/>
        <w:rPr/>
      </w:pPr>
      <w:r>
        <w:rPr/>
        <w:t>María es el hilo narrativo del demo. Los valores definitivos se podrán ajustar antes de la presentación, pero la persona y la lógica del recorrido permanecerán estables.</w:t>
      </w:r>
    </w:p>
    <w:p>
      <w:pPr>
        <w:pStyle w:val="Heading1"/>
        <w:rPr/>
      </w:pPr>
      <w:r>
        <w:rPr/>
        <w:t>4. Flujo congelado — experiencia de María</w:t>
      </w:r>
    </w:p>
    <w:p>
      <w:pPr>
        <w:pStyle w:val="Normal"/>
        <w:rPr/>
      </w:pPr>
      <w:r>
        <w:rPr/>
        <w:t>Secuencia oficial del recorrido:</w:t>
      </w:r>
    </w:p>
    <w:tbl>
      <w:tblPr>
        <w:tblStyle w:val="TableGrid"/>
        <w:tblW w:w="1016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1"/>
        <w:gridCol w:w="2541"/>
        <w:gridCol w:w="2541"/>
        <w:gridCol w:w="2540"/>
      </w:tblGrid>
      <w:tr>
        <w:trPr>
          <w:tblHeader w:val="true"/>
        </w:trPr>
        <w:tc>
          <w:tcPr>
            <w:tcW w:w="2541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Paso</w:t>
            </w:r>
          </w:p>
        </w:tc>
        <w:tc>
          <w:tcPr>
            <w:tcW w:w="2541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Pantalla</w:t>
            </w:r>
          </w:p>
        </w:tc>
        <w:tc>
          <w:tcPr>
            <w:tcW w:w="2541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Acción del presentador</w:t>
            </w:r>
          </w:p>
        </w:tc>
        <w:tc>
          <w:tcPr>
            <w:tcW w:w="2540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Resultado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Entrada / Landing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 en “Crear mi Libreta Digital”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Inicia incorporación.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Registro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Completa manualmente pocos campos y confirma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Registro se siente real y funcional.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Éxito de registro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 en “Ver mi Libreta”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presenta por primera vez la Libreta Digital.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 Libreta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Muestra credencial/QR y click en “Continuar”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Llega a Inicio.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Inicio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Explica estado, aporte y cuatro beneficios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 entiende por qué formalizarse genera valor.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Mi aporte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Click en CTA “Ver cómo se utiliza mi aporte”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Compara aporte vs. valor estimado recibido.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Crédito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Abre beneficio y envía evaluación mock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Demuestra relación datos → historial → financiamiento.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Abre rápidamente y vuelve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Demuestra cobertura dentro del ecosistema.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Capacitación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Abre rápidamente y vuelve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Demuestra oferta de desarrollo/capacidades.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Oportunidades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Muestra oportunidades de mercado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Demuestra acceso a compras/mercados.</w:t>
            </w:r>
          </w:p>
        </w:tc>
      </w:tr>
      <w:tr>
        <w:trPr/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Inicio / control oculto</w:t>
            </w:r>
          </w:p>
        </w:tc>
        <w:tc>
          <w:tcPr>
            <w:tcW w:w="2541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Activa la transición de presentación</w:t>
            </w:r>
          </w:p>
        </w:tc>
        <w:tc>
          <w:tcPr>
            <w:tcW w:w="2540" w:type="dxa"/>
            <w:tcBorders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Sale de la escala individual y entra a escala nacional.</w:t>
            </w:r>
          </w:p>
        </w:tc>
      </w:tr>
    </w:tbl>
    <w:p>
      <w:pPr>
        <w:pStyle w:val="Heading2"/>
        <w:rPr/>
      </w:pPr>
      <w:r>
        <w:rPr/>
        <w:t>4.1 Navegación de la app de María</w:t>
      </w:r>
    </w:p>
    <w:p>
      <w:pPr>
        <w:pStyle w:val="Normal"/>
        <w:rPr/>
      </w:pPr>
      <w:r>
        <w:rPr/>
        <w:t>Navegación inferior mínima:</w:t>
      </w:r>
    </w:p>
    <w:p>
      <w:pPr>
        <w:pStyle w:val="Normal"/>
        <w:jc w:val="center"/>
        <w:rPr/>
      </w:pPr>
      <w:r>
        <w:rPr>
          <w:b/>
          <w:color w:val="123B6D"/>
          <w:sz w:val="22"/>
        </w:rPr>
        <w:t>Inicio   |   Perfil   |   Ajustes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Inicio: estado del negocio, aporte y acceso directo a Crédito, Protección, Capacitación y Oportunidades.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Perfil: datos personales y acceso permanente a “Mi Libreta Digital” con QR.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Ajustes: opciones simples y creíbles (tema, teléfono, actividad económica, notificaciones/preferencias).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La Libreta completa se muestra automáticamente solo al terminar el primer registro; en siguientes ingresos la app abre directamente en Inicio.</w:t>
      </w:r>
    </w:p>
    <w:p>
      <w:pPr>
        <w:pStyle w:val="Heading2"/>
        <w:rPr/>
      </w:pPr>
      <w:r>
        <w:rPr/>
        <w:t>4.2 Contenido mínimo de Inicio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Estado: Activo.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Ventas del mes: Bs 8.500.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Aporte del mes: Bs 255 (dato mock de demostración; no fija la política tributaria final).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Historial formal: 4 meses.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CTA destacado: “Ver cómo se utiliza mi aporte →”.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Cuatro cards: Crédito, Protección, Capacitación y Oportunidades.</w:t>
      </w:r>
    </w:p>
    <w:p>
      <w:pPr>
        <w:pStyle w:val="Heading2"/>
        <w:rPr/>
      </w:pPr>
      <w:r>
        <w:rPr/>
        <w:t>4.3 Contenido mínimo de “Mi aporte”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Ventas del mes.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Aporte del mes.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Desglose visual de beneficios estimados recibidos.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Una sola cifra agregada: “Valor estimado recibido: Bs 485”.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Comparación visual final: Aporte Bs 255 vs. Beneficios Bs 485.</w:t>
      </w:r>
    </w:p>
    <w:p>
      <w:pPr>
        <w:pStyle w:val="Normal"/>
        <w:rPr/>
      </w:pPr>
      <w:r>
        <w:rPr/>
        <w:t>No se repite la cifra agregada en múltiples bloques. La intención es responder de forma inmediata a la pregunta “¿qué pasa con mi dinero?”.</w:t>
      </w:r>
    </w:p>
    <w:p>
      <w:pPr>
        <w:pStyle w:val="Heading2"/>
        <w:rPr/>
      </w:pPr>
      <w:r>
        <w:rPr/>
        <w:t>4.4 Beneficios: profundidad permitida</w:t>
      </w:r>
    </w:p>
    <w:tbl>
      <w:tblPr>
        <w:tblStyle w:val="TableGrid"/>
        <w:tblW w:w="1016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Módulo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Qué se muestra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Profundidad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Crédito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Perfil financiero, condiciones de precalificación y “Solicitar evaluación”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Media; es uno de los momentos clave.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Protección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Seguro/cobertura básica y estado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Muy breve; abrir y volver.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Capacitación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Cursos/programas disponibles y algún avance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Muy breve; abrir y volver.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Oportunidades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Compras públicas/privadas, ferias o cadenas con criterios de elegibilidad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Media; mostrar 2–3 oportunidades.</w:t>
            </w:r>
          </w:p>
        </w:tc>
      </w:tr>
    </w:tbl>
    <w:p>
      <w:pPr>
        <w:pStyle w:val="Normal"/>
        <w:rPr/>
      </w:pPr>
      <w:r>
        <w:rPr/>
        <w:t>Las oportunidades del demo son agregadas ficticias. En un producto real podrían provenir de múltiples fuentes públicas y privadas; el demo no afirma una integración técnica específica.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5. Transición congelada — de María a escala nacional</w:t>
      </w:r>
    </w:p>
    <w:tbl>
      <w:tblPr>
        <w:tblW w:w="1016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BF7F0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27AE60"/>
                <w:sz w:val="21"/>
              </w:rPr>
              <w:t>Objetivo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Cambiar de perspectiva sin salir del navegador, sin DevTools, sin ALT+TAB y sin que la audiencia perciba un cambio de aplicación.</w:t>
            </w:r>
          </w:p>
        </w:tc>
      </w:tr>
    </w:tbl>
    <w:p>
      <w:pPr>
        <w:pStyle w:val="Normal"/>
        <w:rPr/>
      </w:pPr>
      <w:r>
        <w:rPr/>
        <w:t>Secuencia exacta:</w:t>
      </w:r>
    </w:p>
    <w:tbl>
      <w:tblPr>
        <w:tblStyle w:val="TableGrid"/>
        <w:tblW w:w="1016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89"/>
        <w:gridCol w:w="3389"/>
        <w:gridCol w:w="3389"/>
      </w:tblGrid>
      <w:tr>
        <w:trPr/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Momento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Visual</w:t>
            </w:r>
          </w:p>
        </w:tc>
        <w:tc>
          <w:tcPr>
            <w:tcW w:w="3389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Duración objetivo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 app móvil y el fondo negro se desvanecen; toda la pantalla pasa a blanco.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Fade ~1,5 s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Aparece centrado: “Esa fue solo María…”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Entrada/salida ~1,5 s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Aparece: “¿Qué sucede cuando son 200.000 Marías?”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Permanece ~1 s</w:t>
            </w:r>
          </w:p>
        </w:tc>
      </w:tr>
      <w:tr>
        <w:trPr/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 frase se desvanece y entra el Dashboard Nacional.</w:t>
            </w:r>
          </w:p>
        </w:tc>
        <w:tc>
          <w:tcPr>
            <w:tcW w:w="3389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Fade ~1,5 s</w:t>
            </w:r>
          </w:p>
        </w:tc>
      </w:tr>
    </w:tbl>
    <w:p>
      <w:pPr>
        <w:pStyle w:val="Normal"/>
        <w:rPr/>
      </w:pPr>
      <w:r>
        <w:rPr/>
        <w:t>La activación se hará mediante un control discreto/oculto preparado para la presentación. No debe competir visualmente con la experiencia real de la emprendedora.</w:t>
      </w:r>
    </w:p>
    <w:p>
      <w:pPr>
        <w:pStyle w:val="Heading1"/>
        <w:rPr/>
      </w:pPr>
      <w:r>
        <w:rPr/>
        <w:t>6. Flujo congelado — Centro Nacional de Gestión</w:t>
      </w:r>
    </w:p>
    <w:p>
      <w:pPr>
        <w:pStyle w:val="Heading2"/>
        <w:rPr/>
      </w:pPr>
      <w:r>
        <w:rPr/>
        <w:t>6.1 Vista inicial: Resumen nacional</w:t>
      </w:r>
    </w:p>
    <w:p>
      <w:pPr>
        <w:pStyle w:val="Normal"/>
        <w:rPr/>
      </w:pPr>
      <w:r>
        <w:rPr/>
        <w:t>Dashboard desktop a ancho completo. Composición principal: KPIs a la izquierda y mapa SVG de Bolivia grande a la derecha.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Mapa de Bolivia por departamentos, cada uno como path SVG independiente.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Hover: resaltado del departamento + tooltip con nombre y 2–3 KPIs.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Click: el departamento queda seleccionado; los demás bajan ligeramente de énfasis y el dashboard se filtra.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Filtros complementarios: Departamento, Sector, Sexo y Edad (el set exacto se valida en wireframe).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Breadcrumb/contexto siempre visible bajo el encabezado: “Bolivia &gt; La Paz &gt; Textiles” cuando correspondan filtros.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Los KPIs principales conservan siempre los mismos epígrafes; solo cambian los valores al filtrar.</w:t>
      </w:r>
    </w:p>
    <w:tbl>
      <w:tblPr>
        <w:tblStyle w:val="TableGrid"/>
        <w:tblW w:w="101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/>
        <w:tc>
          <w:tcPr>
            <w:tcW w:w="5083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KPI principal fijo</w:t>
            </w:r>
          </w:p>
        </w:tc>
        <w:tc>
          <w:tcPr>
            <w:tcW w:w="5082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Ejemplo de lectura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Personas incorporadas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Total nacional o total del filtro activo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Contribuyentes activos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Ídem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Recaudación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Ídem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Capital movilizado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Ídem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Créditos otorgados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Ídem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Personas con protección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Ídem</w:t>
            </w:r>
          </w:p>
        </w:tc>
      </w:tr>
    </w:tbl>
    <w:p>
      <w:pPr>
        <w:pStyle w:val="Heading2"/>
        <w:rPr/>
      </w:pPr>
      <w:r>
        <w:rPr/>
        <w:t>6.2 Navegación institucional</w:t>
      </w:r>
    </w:p>
    <w:p>
      <w:pPr>
        <w:pStyle w:val="Normal"/>
        <w:rPr/>
      </w:pPr>
      <w:r>
        <w:rPr/>
        <w:t>Navegación secundaria propuesta:</w:t>
      </w:r>
    </w:p>
    <w:p>
      <w:pPr>
        <w:pStyle w:val="Normal"/>
        <w:jc w:val="center"/>
        <w:rPr/>
      </w:pPr>
      <w:r>
        <w:rPr>
          <w:b/>
          <w:color w:val="123B6D"/>
          <w:sz w:val="22"/>
        </w:rPr>
        <w:t>Resumen   |   Desempeño   |   Impacto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Resumen: KPIs, mapa y filtros.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Desempeño: semáforos y brechas nacionales.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Impacto: indicadores de resultado/macroeconómicos definidos para la narrativa ejecutiva.</w:t>
      </w:r>
    </w:p>
    <w:p>
      <w:pPr>
        <w:pStyle w:val="Normal"/>
        <w:rPr/>
      </w:pPr>
      <w:r>
        <w:rPr/>
        <w:t>Antes de entrar a Desempeño, el presentador restablece los filtros a Bolivia. Así se evita mezclar una vista local con alertas comparativas nacionales.</w:t>
      </w:r>
    </w:p>
    <w:p>
      <w:pPr>
        <w:pStyle w:val="Heading2"/>
        <w:rPr/>
      </w:pPr>
      <w:r>
        <w:rPr/>
        <w:t>6.3 Desempeño / semáforos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Formalización.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Permanencia.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Acceso a crédito.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Protección social.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Acceso a mercados.</w:t>
      </w:r>
    </w:p>
    <w:p>
      <w:pPr>
        <w:pStyle w:val="Normal"/>
        <w:rPr/>
      </w:pPr>
      <w:r>
        <w:rPr/>
        <w:t>Los valores se muestran con semáforo Verde / Amarillo / Rojo. Al seleccionar una brecha, se despliega una lectura resumida por territorio o sector. La finalidad es demostrar capacidad de gestión y priorización, no construir analítica avanzada.</w:t>
      </w:r>
    </w:p>
    <w:p>
      <w:pPr>
        <w:pStyle w:val="Heading1"/>
        <w:rPr/>
      </w:pPr>
      <w:r>
        <w:rPr/>
        <w:t>7. Sistema visual congelado (nivel scope)</w:t>
      </w:r>
    </w:p>
    <w:p>
      <w:pPr>
        <w:pStyle w:val="Normal"/>
        <w:rPr/>
      </w:pPr>
      <w:r>
        <w:rPr/>
        <w:t>Estos lineamientos son suficientes para pasar a wireframes; todavía no constituyen diseño final.</w:t>
      </w:r>
    </w:p>
    <w:tbl>
      <w:tblPr>
        <w:tblStyle w:val="TableGrid"/>
        <w:tblW w:w="1016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83"/>
        <w:gridCol w:w="5082"/>
      </w:tblGrid>
      <w:tr>
        <w:trPr/>
        <w:tc>
          <w:tcPr>
            <w:tcW w:w="5083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Elemento</w:t>
            </w:r>
          </w:p>
        </w:tc>
        <w:tc>
          <w:tcPr>
            <w:tcW w:w="5082" w:type="dxa"/>
            <w:tcBorders/>
            <w:shd w:fill="123B6D"/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Decisión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Experiencia móvil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Fondo negro/oscuro, device frame centrado, esquinas redondeadas; navegador siempre en desktop.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Fondo claro, composición institucional y espaciosa.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Mapa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SVG interactivo protagonista; KPIs a la izquierda, mapa a la derecha.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Paleta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Azul profundo #123B6D; celeste #2F80ED; verde #27AE60; dorado suave #D4A72C; blanco #F8FAFC; gris oscuro #1F2937.</w:t>
            </w:r>
          </w:p>
        </w:tc>
      </w:tr>
      <w:tr>
        <w:trPr/>
        <w:tc>
          <w:tcPr>
            <w:tcW w:w="5083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Animación</w:t>
            </w:r>
          </w:p>
        </w:tc>
        <w:tc>
          <w:tcPr>
            <w:tcW w:w="5082" w:type="dxa"/>
            <w:tcBorders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pStyle w:val="Normal"/>
              <w:widowControl/>
              <w:spacing w:before="0" w:after="10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Transiciones sobrias; fades y microinteracciones. Evitar efectos decorativos excesivos.</w:t>
            </w:r>
          </w:p>
        </w:tc>
      </w:tr>
    </w:tbl>
    <w:p>
      <w:pPr>
        <w:pStyle w:val="Heading1"/>
        <w:rPr/>
      </w:pPr>
      <w:r>
        <w:rPr/>
        <w:t>8. Datos mock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Todos los datos de personas, montos, oportunidades y resultados del sistema son ficticios salvo que se indique expresamente lo contrario.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El demo debe mostrar una etiqueta discreta tipo “Datos de demostración” en el dashboard institucional.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María tendrá datos definidos manualmente para controlar el guion.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El dashboard se alimentará de un dataset ficticio suficientemente amplio para filtros y visualizaciones (p. ej., 500–2.000 registros).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Los valores agregados deben ser internamente coherentes entre KPIs, departamentos, sectores y gráficos.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No se debe presentar el 3%, 5% u otra tasa como decisión final del programa. Si aparece un aporte en el caso de María, se trata de un valor mock del escenario de demo.</w:t>
      </w:r>
    </w:p>
    <w:p>
      <w:pPr>
        <w:pStyle w:val="Heading1"/>
        <w:rPr/>
      </w:pPr>
      <w:r>
        <w:rPr/>
        <w:t>9. Límites del alcance — qué NO se construye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Backend productivo, base de datos real o persistencia compleja.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Autenticación real, SEGIP/NIT/firma electrónica o integraciones gubernamentales reales.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Integración real con SIN, BDP, bancos, aseguradoras, municipios o fuentes de oportunidades.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Motor crediticio o scoring real.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Pagos reales, facturación fiscal real o QR interoperable real.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Sistema de compras públicas real.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Administración completa de usuarios, roles o permisos.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Arquitectura cloud definitiva, ciberseguridad productiva o cumplimiento regulatorio definitivo.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Simulador de política/tasa en la presentación principal.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Responsive demo mediante DevTools; se evita por completo como parte de la presentación.</w:t>
      </w:r>
    </w:p>
    <w:p>
      <w:pPr>
        <w:pStyle w:val="Heading1"/>
        <w:rPr/>
      </w:pPr>
      <w:r>
        <w:rPr/>
        <w:t>10. Enfoque de construcción con v0</w:t>
      </w:r>
    </w:p>
    <w:p>
      <w:pPr>
        <w:pStyle w:val="Normal"/>
        <w:rPr/>
      </w:pPr>
      <w:r>
        <w:rPr/>
        <w:t>La implementación no se planificará como desarrollo manual pantalla por pantalla. Después de wireframes, se preparará un briefing/prompt maestro para v0 que describa el sistema completo y permita generar el máximo posible de la aplicación en una sola iteración, seguido de correcciones puntuales.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Una sola app React con dos experiencias: emprendedora y gestión institucional.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Componentes reutilizables generados desde el principio.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Datos mock centralizados para mantener consistencia.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Rutas/estados preparados para el happy path de la presentación.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Animación de transición incluida dentro de la misma aplicación.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Mapa SVG de Bolivia como componente específico; se podrá ajustar manualmente si v0 no genera la interacción con suficiente precisión.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El wireframe siguiente debe pensarse como insumo directo para v0, no como ejercicio visual aislado.</w:t>
      </w:r>
    </w:p>
    <w:p>
      <w:pPr>
        <w:pStyle w:val="Heading1"/>
        <w:rPr/>
      </w:pPr>
      <w:r>
        <w:rPr/>
        <w:t>11. Criterios de aceptación del scope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El recorrido completo puede explicarse en aproximadamente 5–7 minutos.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La audiencia entiende el valor para María antes de ver el dashboard nacional.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No se requiere cambiar resolución, abrir DevTools ni alternar entre aplicaciones durante el demo.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La transición María → escala nacional ocurre fluidamente dentro de React.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El dashboard mantiene KPIs consistentes al filtrar.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El mapa permite hover y click por departamento.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Protección y Capacitación existen, pero no distraen del flujo principal.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No se confunden datos mock con cifras oficiales ni decisiones de política pública.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No hay pantallas o módulos que no aporten al guion.</w:t>
      </w:r>
    </w:p>
    <w:p>
      <w:pPr>
        <w:pStyle w:val="Normal"/>
        <w:ind w:hanging="259" w:left="259"/>
        <w:rPr/>
      </w:pPr>
      <w:r>
        <w:rPr>
          <w:b/>
          <w:color w:val="27AE60"/>
        </w:rPr>
        <w:t xml:space="preserve">☐ </w:t>
      </w:r>
      <w:r>
        <w:rPr/>
        <w:t>El alcance es suficientemente cerrado para iniciar wireframes sin redefinir funcionalidades.</w:t>
      </w:r>
    </w:p>
    <w:p>
      <w:pPr>
        <w:pStyle w:val="Heading1"/>
        <w:rPr/>
      </w:pPr>
      <w:r>
        <w:rPr/>
        <w:t>12. Siguiente paso</w:t>
      </w:r>
    </w:p>
    <w:tbl>
      <w:tblPr>
        <w:tblW w:w="1016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10166"/>
      </w:tblGrid>
      <w:tr>
        <w:trPr/>
        <w:tc>
          <w:tcPr>
            <w:tcW w:w="10166" w:type="dxa"/>
            <w:tcBorders/>
            <w:shd w:fill="EAF2FB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color w:val="2F80ED"/>
                <w:sz w:val="21"/>
              </w:rPr>
              <w:t>Wireframes</w:t>
            </w:r>
          </w:p>
          <w:p>
            <w:pPr>
              <w:pStyle w:val="Normal"/>
              <w:spacing w:before="0" w:after="0"/>
              <w:rPr/>
            </w:pPr>
            <w:r>
              <w:rPr>
                <w:sz w:val="19"/>
              </w:rPr>
              <w:t>Con este Scope Freeze aprobado, el siguiente entregable será el wireframe pantalla por pantalla: layout, jerarquía visual, posición de elementos, CTAs, navegación, estados de interacción y composición del dashboard. No se agregan nuevas funcionalidades salvo que surja una necesidad imprescindible.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00"/>
        <w:jc w:val="right"/>
        <w:rPr/>
      </w:pPr>
      <w:r>
        <w:rPr>
          <w:b/>
          <w:color w:val="123B6D"/>
        </w:rPr>
        <w:t>Fin del Scope Freeze v1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37" w:right="1037" w:gutter="0" w:header="72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B6573"/>
        <w:sz w:val="15"/>
      </w:rPr>
      <w:t>Documento de trabajo · Chemonics · Demo conceptual con datos ficticios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B6573"/>
        <w:sz w:val="15"/>
      </w:rPr>
      <w:t>Documento de trabajo · Chemonics · Demo conceptual con datos ficticios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5B6573"/>
        <w:sz w:val="15"/>
      </w:rPr>
      <w:t>ECONOMÍA PARA TODOS  ·  SCOPE FREEZE DEL DEMO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5B6573"/>
        <w:sz w:val="15"/>
      </w:rPr>
      <w:t>ECONOMÍA PARA TODOS  ·  SCOPE FREEZE DEL DEMO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100"/>
      <w:jc w:val="left"/>
    </w:pPr>
    <w:rPr>
      <w:rFonts w:ascii="Aptos" w:hAnsi="Aptos" w:eastAsia="ＭＳ 明朝" w:cs=""/>
      <w:color w:val="1F2937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8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4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23B6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2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23B6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Eyebrow" w:customStyle="1">
    <w:name w:val="Eyebrow"/>
    <w:qFormat/>
    <w:pPr>
      <w:widowControl/>
      <w:bidi w:val="0"/>
      <w:spacing w:lineRule="auto" w:line="276" w:before="0" w:after="60"/>
      <w:jc w:val="left"/>
    </w:pPr>
    <w:rPr>
      <w:rFonts w:ascii="Aptos" w:hAnsi="Aptos" w:eastAsia="ＭＳ 明朝" w:cs=""/>
      <w:b/>
      <w:color w:val="2F80ED"/>
      <w:kern w:val="0"/>
      <w:sz w:val="16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8</Pages>
  <Words>1884</Words>
  <Characters>10761</Characters>
  <CharactersWithSpaces>12358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2026-08-08T01:18:11Z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