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ptos" w:hAnsi="Aptos"/>
          <w:b/>
          <w:color w:val="2F75B5"/>
          <w:sz w:val="22"/>
        </w:rPr>
        <w:t>TECHNISCHES PROJEKTHANDBUCH</w:t>
      </w:r>
    </w:p>
    <w:p>
      <w:pPr>
        <w:spacing w:after="60"/>
      </w:pPr>
      <w:r>
        <w:rPr>
          <w:rFonts w:ascii="Aptos" w:hAnsi="Aptos"/>
          <w:b/>
          <w:color w:val="25364A"/>
          <w:sz w:val="50"/>
        </w:rPr>
        <w:t>HASA Entwicklerhandbuch</w:t>
      </w:r>
    </w:p>
    <w:p>
      <w:pPr>
        <w:spacing w:after="140"/>
      </w:pPr>
      <w:r>
        <w:rPr>
          <w:rFonts w:ascii="Aptos" w:hAnsi="Aptos"/>
          <w:b w:val="0"/>
          <w:color w:val="697787"/>
          <w:sz w:val="24"/>
        </w:rPr>
        <w:t>Horizon Ascension System Assistant · Architektur, Regeln und Entwicklungsstand</w:t>
      </w:r>
    </w:p>
    <w:p>
      <w:pPr>
        <w:spacing w:after="20" w:line="259" w:lineRule="auto"/>
      </w:pPr>
      <w:r>
        <w:rPr>
          <w:rFonts w:ascii="Aptos" w:hAnsi="Aptos"/>
          <w:b/>
          <w:color w:val="25364A"/>
          <w:sz w:val="20"/>
        </w:rPr>
        <w:t>Dokumentstand:</w:t>
      </w:r>
      <w:r>
        <w:rPr>
          <w:rFonts w:ascii="Aptos" w:hAnsi="Aptos"/>
          <w:b w:val="0"/>
          <w:color w:val="25364A"/>
          <w:sz w:val="20"/>
        </w:rPr>
        <w:t xml:space="preserve"> 28.08.2026</w:t>
      </w:r>
    </w:p>
    <w:p>
      <w:pPr>
        <w:spacing w:after="20" w:line="259" w:lineRule="auto"/>
      </w:pPr>
      <w:r>
        <w:rPr>
          <w:rFonts w:ascii="Aptos" w:hAnsi="Aptos"/>
          <w:b/>
          <w:color w:val="25364A"/>
          <w:sz w:val="20"/>
        </w:rPr>
        <w:t>Gültige Projektbasis:</w:t>
      </w:r>
      <w:r>
        <w:rPr>
          <w:rFonts w:ascii="Aptos" w:hAnsi="Aptos"/>
          <w:b w:val="0"/>
          <w:color w:val="25364A"/>
          <w:sz w:val="20"/>
        </w:rPr>
        <w:t xml:space="preserve"> HASA 1.1 – Forschungsmodul komplett</w:t>
      </w:r>
    </w:p>
    <w:p>
      <w:pPr>
        <w:spacing w:after="20" w:line="259" w:lineRule="auto"/>
      </w:pPr>
      <w:r>
        <w:rPr>
          <w:rFonts w:ascii="Aptos" w:hAnsi="Aptos"/>
          <w:b/>
          <w:color w:val="25364A"/>
          <w:sz w:val="20"/>
        </w:rPr>
        <w:t>Maßgebliche Datei:</w:t>
      </w:r>
      <w:r>
        <w:rPr>
          <w:rFonts w:ascii="Aptos" w:hAnsi="Aptos"/>
          <w:b w:val="0"/>
          <w:color w:val="25364A"/>
          <w:sz w:val="20"/>
        </w:rPr>
        <w:t xml:space="preserve"> 2 src/current/hasa_1.1_forschungsmodul-komplett.user.js.txt</w:t>
      </w:r>
    </w:p>
    <w:p>
      <w:pPr>
        <w:spacing w:after="200" w:line="259" w:lineRule="auto"/>
      </w:pPr>
      <w:r>
        <w:rPr>
          <w:rFonts w:ascii="Aptos" w:hAnsi="Aptos"/>
          <w:b/>
          <w:color w:val="25364A"/>
          <w:sz w:val="20"/>
        </w:rPr>
        <w:t>Status:</w:t>
      </w:r>
      <w:r>
        <w:rPr>
          <w:rFonts w:ascii="Aptos" w:hAnsi="Aptos"/>
          <w:b w:val="0"/>
          <w:color w:val="25364A"/>
          <w:sz w:val="20"/>
        </w:rPr>
        <w:t xml:space="preserve"> veröffentlichungsreifer Stand; Forschungsplanung abgeschlossen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2F75B5"/>
          <w:sz w:val="30"/>
        </w:rPr>
        <w:t>1. Zweck und Pflegeprinzip</w:t>
      </w:r>
    </w:p>
    <w:p>
      <w:pPr>
        <w:spacing w:after="100" w:line="259" w:lineRule="auto"/>
      </w:pPr>
      <w:r>
        <w:rPr>
          <w:rFonts w:ascii="Aptos" w:hAnsi="Aptos"/>
          <w:b w:val="0"/>
          <w:color w:val="25364A"/>
          <w:sz w:val="20"/>
        </w:rPr>
        <w:t>Dieses Handbuch ist die verbindliche, fortlaufend gepflegte Orientierung für Wartung und Weiterentwicklung von HASA. Es bündelt Projektgeschichte, aktuellen Masterstand, Architektur, Arbeitsregeln, Prüfgrundsätze, bekannte Punkte und Zukunftsideen.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000"/>
            <w:shd w:fill="F1F4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2F75B5"/>
                <w:sz w:val="20"/>
              </w:rPr>
              <w:t xml:space="preserve">Leitentscheidung: </w:t>
            </w:r>
            <w:r>
              <w:rPr>
                <w:rFonts w:ascii="Aptos" w:hAnsi="Aptos"/>
                <w:b w:val="0"/>
                <w:color w:val="25364A"/>
                <w:sz w:val="20"/>
              </w:rPr>
              <w:t>Dieses Dokument wird nach jedem freigegebenen HASA-Stand aktualisiert. Separate Übergabeprotokolle sind nur nötig, wenn ein Entwicklerwechsel mitten in einer unfertigen Reparatur erfolgt.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2F75B5"/>
          <w:sz w:val="30"/>
        </w:rPr>
        <w:t>2. Name und Entstehung von HASA</w:t>
      </w:r>
    </w:p>
    <w:p>
      <w:pPr>
        <w:spacing w:after="100" w:line="259" w:lineRule="auto"/>
      </w:pPr>
      <w:r>
        <w:rPr>
          <w:rFonts w:ascii="Aptos" w:hAnsi="Aptos"/>
          <w:b w:val="0"/>
          <w:color w:val="25364A"/>
          <w:sz w:val="20"/>
        </w:rPr>
        <w:t>HASA steht ab Version 1.1 vollständig für Horizon Ascension System Assistant.</w:t>
      </w:r>
    </w:p>
    <w:p>
      <w:pPr>
        <w:spacing w:after="100" w:line="259" w:lineRule="auto"/>
      </w:pPr>
      <w:r>
        <w:rPr>
          <w:rFonts w:ascii="Aptos" w:hAnsi="Aptos"/>
          <w:b w:val="0"/>
          <w:color w:val="25364A"/>
          <w:sz w:val="20"/>
        </w:rPr>
        <w:t>In frühen Scriptständen und Dokumenten wurde der Name verkürzt als „Horizon Ascension Assistant“ ausgeschrieben. Das bereits im Kürzel vorhandene S war dabei nicht ausdrücklich erklärt. Mit dem öffentlichen Stand 1.1 wird System als verbindliche Bedeutung festgelegt.</w:t>
      </w:r>
    </w:p>
    <w:p>
      <w:pPr>
        <w:spacing w:after="100" w:line="259" w:lineRule="auto"/>
      </w:pPr>
      <w:r>
        <w:rPr>
          <w:rFonts w:ascii="Aptos" w:hAnsi="Aptos"/>
          <w:b w:val="0"/>
          <w:color w:val="25364A"/>
          <w:sz w:val="20"/>
        </w:rPr>
        <w:t>Der Begriff passt zur Entwicklung des Projekts: HASA ist inzwischen nicht nur eine einzelne Ascension-Hilfe, sondern ein zusammenhängendes Assistenzsystem aus Zustandsbeobachtung, Alarmen, Speicherung, TechTree-Auswertung und Forschungsplanung. Der Name beschreibt damit sowohl die Herkunft als auch den gewachsenen Funktionsumfang.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2F75B5"/>
          <w:sz w:val="30"/>
        </w:rPr>
        <w:t>3. Projektüberblick</w:t>
      </w:r>
    </w:p>
    <w:p>
      <w:pPr>
        <w:spacing w:after="100" w:line="259" w:lineRule="auto"/>
      </w:pPr>
      <w:r>
        <w:rPr>
          <w:rFonts w:ascii="Aptos" w:hAnsi="Aptos"/>
          <w:b w:val="0"/>
          <w:color w:val="25364A"/>
          <w:sz w:val="20"/>
        </w:rPr>
        <w:t>HASA ist ein Tampermonkey-Userscript für das Browsergame Horizon. Es liest ausschließlich Informationen aus Horizon-Seiten, die der Benutzer selbst sichtbar geöffnet hat, ordnet und speichert diese lokal und ergänzt die Spieloberfläche um Assistenzfunktionen.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000"/>
            <w:shd w:fill="F1F4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2F75B5"/>
                <w:sz w:val="20"/>
              </w:rPr>
              <w:t xml:space="preserve">Grundsatz: </w:t>
            </w:r>
            <w:r>
              <w:rPr>
                <w:rFonts w:ascii="Aptos" w:hAnsi="Aptos"/>
                <w:b w:val="0"/>
                <w:color w:val="25364A"/>
                <w:sz w:val="20"/>
              </w:rPr>
              <w:t>HASA informiert, analysiert und erinnert. HASA spielt nicht selbstständig, navigiert nicht beliebig im Hintergrund und ersetzt keine strategischen Entscheidungen.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2F75B5"/>
          <w:sz w:val="23"/>
        </w:rPr>
        <w:t>3.1 Funktionale Architektur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C5D1DF"/>
          <w:left w:val="single" w:sz="6" w:color="C5D1DF"/>
          <w:bottom w:val="single" w:sz="6" w:color="C5D1DF"/>
          <w:right w:val="single" w:sz="6" w:color="C5D1DF"/>
          <w:insideH w:val="single" w:sz="6" w:color="C5D1DF"/>
          <w:insideV w:val="single" w:sz="6" w:color="C5D1DF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00"/>
            <w:shd w:fill="E4EBF3"/>
            <w:vAlign w:val="center"/>
          </w:tcPr>
          <w:p>
            <w:r>
              <w:rPr>
                <w:rFonts w:ascii="Aptos" w:hAnsi="Aptos"/>
                <w:b/>
                <w:color w:val="25364A"/>
                <w:sz w:val="20"/>
              </w:rPr>
              <w:t>Ebene</w:t>
            </w:r>
          </w:p>
        </w:tc>
        <w:tc>
          <w:tcPr>
            <w:tcW w:type="dxa" w:w="3300"/>
            <w:shd w:fill="E4EBF3"/>
            <w:vAlign w:val="center"/>
          </w:tcPr>
          <w:p>
            <w:r>
              <w:rPr>
                <w:rFonts w:ascii="Aptos" w:hAnsi="Aptos"/>
                <w:b/>
                <w:color w:val="25364A"/>
                <w:sz w:val="20"/>
              </w:rPr>
              <w:t>Verantwortung</w:t>
            </w:r>
          </w:p>
        </w:tc>
        <w:tc>
          <w:tcPr>
            <w:tcW w:type="dxa" w:w="4200"/>
            <w:shd w:fill="E4EBF3"/>
            <w:vAlign w:val="center"/>
          </w:tcPr>
          <w:p>
            <w:r>
              <w:rPr>
                <w:rFonts w:ascii="Aptos" w:hAnsi="Aptos"/>
                <w:b/>
                <w:color w:val="25364A"/>
                <w:sz w:val="20"/>
              </w:rPr>
              <w:t>Verbindlicher Grundsatz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25364A"/>
                <w:sz w:val="18"/>
              </w:rPr>
              <w:t>1 · Host/DOM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5364A"/>
                <w:sz w:val="18"/>
              </w:rPr>
              <w:t>Sichtbare Horizon-Seiten und Spielinformationen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5364A"/>
                <w:sz w:val="18"/>
              </w:rPr>
              <w:t>Nur eindeutig erkennbare Inhalte übernehmen.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25364A"/>
                <w:sz w:val="18"/>
              </w:rPr>
              <w:t>2 · Erfassung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5364A"/>
                <w:sz w:val="18"/>
              </w:rPr>
              <w:t>Zeit-, Forschungs-, Gebäude-, Alarm- und TechTree-Signale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5364A"/>
                <w:sz w:val="18"/>
              </w:rPr>
              <w:t>Generisch erkennen; Mehrdeutigkeit verwerfen.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25364A"/>
                <w:sz w:val="18"/>
              </w:rPr>
              <w:t>3 · Datenquellen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5364A"/>
                <w:sz w:val="18"/>
              </w:rPr>
              <w:t>Horizon, lokaler STAN-Bestand, Community-TechTree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5364A"/>
                <w:sz w:val="18"/>
              </w:rPr>
              <w:t>Typen und Voraussetzungen datengetrieben bestimmen.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25364A"/>
                <w:sz w:val="18"/>
              </w:rPr>
              <w:t>4 · Fachlogik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5364A"/>
                <w:sz w:val="18"/>
              </w:rPr>
              <w:t>Alarm, Ascension, Soll/Ist-Auswertung und Planung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5364A"/>
                <w:sz w:val="18"/>
              </w:rPr>
              <w:t>Bestehende Wege wiederverwenden und getrennt testen.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25364A"/>
                <w:sz w:val="18"/>
              </w:rPr>
              <w:t>5 · Zustand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5364A"/>
                <w:sz w:val="18"/>
              </w:rPr>
              <w:t>Tampermonkey-Speicher mit localStorage-Fallback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5364A"/>
                <w:sz w:val="18"/>
              </w:rPr>
              <w:t>Keine parallelen Schattenzustände einführen.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25364A"/>
                <w:sz w:val="18"/>
              </w:rPr>
              <w:t>6 · UI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5364A"/>
                <w:sz w:val="18"/>
              </w:rPr>
              <w:t>HASA-Box, Dashboard und Forschungsplanung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5364A"/>
                <w:sz w:val="18"/>
              </w:rPr>
              <w:t>Darstellung darf Fachzustände nicht heimlich verändern.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000"/>
            <w:shd w:fill="F1F4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2F75B5"/>
                <w:sz w:val="20"/>
              </w:rPr>
              <w:t xml:space="preserve">Datenfluss: </w:t>
            </w:r>
            <w:r>
              <w:rPr>
                <w:rFonts w:ascii="Aptos" w:hAnsi="Aptos"/>
                <w:b w:val="0"/>
                <w:color w:val="25364A"/>
                <w:sz w:val="20"/>
              </w:rPr>
              <w:t>Sichtbare Seite erkennen → Eindeutigkeit bewerten → vorhandene Datenquellen und Fachlogik verwenden → lokal speichern → verständlich anzeigen.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2F75B5"/>
          <w:sz w:val="30"/>
        </w:rPr>
        <w:t>4. Versions- und Entwicklungsstand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C5D1DF"/>
          <w:left w:val="single" w:sz="6" w:color="C5D1DF"/>
          <w:bottom w:val="single" w:sz="6" w:color="C5D1DF"/>
          <w:right w:val="single" w:sz="6" w:color="C5D1DF"/>
          <w:insideH w:val="single" w:sz="6" w:color="C5D1DF"/>
          <w:insideV w:val="single" w:sz="6" w:color="C5D1DF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E4EBF3"/>
            <w:vAlign w:val="center"/>
          </w:tcPr>
          <w:p>
            <w:r>
              <w:rPr>
                <w:rFonts w:ascii="Aptos" w:hAnsi="Aptos"/>
                <w:b/>
                <w:color w:val="25364A"/>
                <w:sz w:val="20"/>
              </w:rPr>
              <w:t>Stand</w:t>
            </w:r>
          </w:p>
        </w:tc>
        <w:tc>
          <w:tcPr>
            <w:tcW w:type="dxa" w:w="2500"/>
            <w:shd w:fill="E4EBF3"/>
            <w:vAlign w:val="center"/>
          </w:tcPr>
          <w:p>
            <w:r>
              <w:rPr>
                <w:rFonts w:ascii="Aptos" w:hAnsi="Aptos"/>
                <w:b/>
                <w:color w:val="25364A"/>
                <w:sz w:val="20"/>
              </w:rPr>
              <w:t>Rolle</w:t>
            </w:r>
          </w:p>
        </w:tc>
        <w:tc>
          <w:tcPr>
            <w:tcW w:type="dxa" w:w="4700"/>
            <w:shd w:fill="E4EBF3"/>
            <w:vAlign w:val="center"/>
          </w:tcPr>
          <w:p>
            <w:r>
              <w:rPr>
                <w:rFonts w:ascii="Aptos" w:hAnsi="Aptos"/>
                <w:b/>
                <w:color w:val="25364A"/>
                <w:sz w:val="20"/>
              </w:rPr>
              <w:t>Bedeutung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25364A"/>
                <w:sz w:val="18"/>
              </w:rPr>
              <w:t>HASA 1.1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5364A"/>
                <w:sz w:val="18"/>
              </w:rPr>
              <w:t>Aktueller Master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5364A"/>
                <w:sz w:val="18"/>
              </w:rPr>
              <w:t>Forschungsplanung abgeschlossen und veröffentlichungsreif.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25364A"/>
                <w:sz w:val="18"/>
              </w:rPr>
              <w:t>HASA 1.0.3l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5364A"/>
                <w:sz w:val="18"/>
              </w:rPr>
              <w:t>Direkte Vorgängerbasis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5364A"/>
                <w:sz w:val="18"/>
              </w:rPr>
              <w:t>Ascension-Reset und autoritativer sichtbarer Iststand.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25364A"/>
                <w:sz w:val="18"/>
              </w:rPr>
              <w:t>HASA 1.0.1e1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5364A"/>
                <w:sz w:val="18"/>
              </w:rPr>
              <w:t>Historischer UI-Meilenstein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5364A"/>
                <w:sz w:val="18"/>
              </w:rPr>
              <w:t>„Befreit aus der Box“; Accordion und beherrschbare Scrollbereiche.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25364A"/>
                <w:sz w:val="18"/>
              </w:rPr>
              <w:t>HASA 0.9.5 BETA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5364A"/>
                <w:sz w:val="18"/>
              </w:rPr>
              <w:t>Historische Referenz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5364A"/>
                <w:sz w:val="18"/>
              </w:rPr>
              <w:t>Zielalarm sowie bewährtes Alarm- und Speicherverhalten.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2F75B5"/>
          <w:sz w:val="23"/>
        </w:rPr>
        <w:t>4.1 Forschungsplanung in HASA 1.1</w:t>
      </w:r>
    </w:p>
    <w:p>
      <w:pPr>
        <w:spacing w:after="100" w:line="259" w:lineRule="auto"/>
      </w:pPr>
      <w:r>
        <w:rPr>
          <w:rFonts w:ascii="Aptos" w:hAnsi="Aptos"/>
          <w:b w:val="0"/>
          <w:color w:val="25364A"/>
          <w:sz w:val="20"/>
        </w:rPr>
        <w:t>Die Forschungsplanung wählt ein Ziel aus Gebäude, Forschung, Schiff oder Verteidigung und ermittelt dessen Voraussetzungen rekursiv aus dem Community-TechTree. Die benötigten Stufen werden mit dem aus sichtbaren Horizon-Seiten gelesenen Iststand verglichen. Erledigte und offene Anforderungen werden entsprechend dargestellt.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Der lokale STAN-Datenbestand ist die maßgebliche Typquelle für bekannte Objekt-IDs.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TechTree-Stufenbereiche wie „Stufen 1–8“ werden korrekt ausgewertet.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Voraussetzungen hoher Objektstufen beeinflussen niedrigere Zielstufen nicht.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Gebäude werden allgemein ausgewertet; es gibt keine Lösung nur für einzelne Testobjekte.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Offene Anforderungen sind anklickbar und führen direkt zum gewählten Zwischenziel.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Nach einer Ascension werden alte Forschungs- und Gebäudestände nicht als weiterhin vorhanden behandelt.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2F75B5"/>
          <w:sz w:val="23"/>
        </w:rPr>
        <w:t>4.2 Abschlussprüfung von 1.1</w:t>
      </w:r>
    </w:p>
    <w:p>
      <w:pPr>
        <w:spacing w:after="100" w:line="259" w:lineRule="auto"/>
      </w:pPr>
      <w:r>
        <w:rPr>
          <w:rFonts w:ascii="Aptos" w:hAnsi="Aptos"/>
          <w:b w:val="0"/>
          <w:color w:val="25364A"/>
          <w:sz w:val="20"/>
        </w:rPr>
        <w:t>Zum Abschluss wurden bewusst zuvor nicht verwendete Gebäude geprüft. Die Mindestanforderungen wurden korrekt erkannt. Beim Test mit WEAPONFACTORY wurden zehn direkte Mindestanforderungen gefunden; drei waren offen und sieben erledigt. Offen waren Energietechnik 6, Konstruktionstechnik 2 und Physik 10.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000"/>
            <w:shd w:fill="F1F4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2F75B5"/>
                <w:sz w:val="20"/>
              </w:rPr>
              <w:t xml:space="preserve">Regressionstest: </w:t>
            </w:r>
            <w:r>
              <w:rPr>
                <w:rFonts w:ascii="Aptos" w:hAnsi="Aptos"/>
                <w:b w:val="0"/>
                <w:color w:val="25364A"/>
                <w:sz w:val="20"/>
              </w:rPr>
              <w:t>SHIPYARD bleibt ein guter Testfall, darf aber niemals der einzige Testfall sein. Objektbezogene Fehler sind zuerst als mögliche allgemeine Parserfehler zu untersuchen.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2F75B5"/>
          <w:sz w:val="30"/>
        </w:rPr>
        <w:t>5. Verbindliche Arbeitsregeln</w:t>
      </w:r>
    </w:p>
    <w:p>
      <w:pPr>
        <w:numPr>
          <w:ilvl w:val="0"/>
          <w:numId w:val="13"/>
        </w:numPr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Erhalten vor verbessern. Zuerst den aktuellen Master und das betroffene Verhalten verstehen.</w:t>
      </w:r>
    </w:p>
    <w:p>
      <w:pPr>
        <w:numPr>
          <w:ilvl w:val="0"/>
          <w:numId w:val="13"/>
        </w:numPr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Bestehende Funktionen nicht ohne Not neu erfinden, modernisieren oder großflächig umstrukturieren.</w:t>
      </w:r>
    </w:p>
    <w:p>
      <w:pPr>
        <w:numPr>
          <w:ilvl w:val="0"/>
          <w:numId w:val="13"/>
        </w:numPr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Ein klar begrenztes Änderungsthema pro Version; UI und Fachlogik nicht unscharf vermischen.</w:t>
      </w:r>
    </w:p>
    <w:p>
      <w:pPr>
        <w:numPr>
          <w:ilvl w:val="0"/>
          <w:numId w:val="13"/>
        </w:numPr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Kurt erhält vollständige, tatsächlich neu erzeugte .user.js.txt-Dateien; keine Patchfragmente.</w:t>
      </w:r>
    </w:p>
    <w:p>
      <w:pPr>
        <w:numPr>
          <w:ilvl w:val="0"/>
          <w:numId w:val="13"/>
        </w:numPr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Neue Stände erhalten eindeutige Dateinamen sowie passende Metadaten, Versionen, Build- und UI-Angaben.</w:t>
      </w:r>
    </w:p>
    <w:p>
      <w:pPr>
        <w:numPr>
          <w:ilvl w:val="0"/>
          <w:numId w:val="13"/>
        </w:numPr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GitHub ist die gemeinsame Übergabestelle. Erst zum git pull auffordern, wenn der neue Stand dort liegt.</w:t>
      </w:r>
    </w:p>
    <w:p>
      <w:pPr>
        <w:numPr>
          <w:ilvl w:val="0"/>
          <w:numId w:val="13"/>
        </w:numPr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Keine stillen Löschungen. Entfernung benötigt einen nachgewiesenen Ersatz oder eine ausdrückliche Entscheidung.</w:t>
      </w:r>
    </w:p>
    <w:p>
      <w:pPr>
        <w:numPr>
          <w:ilvl w:val="0"/>
          <w:numId w:val="13"/>
        </w:numPr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Generische Parser- und DOM-Lösungen haben Vorrang vor Sonderfällen für einzelne Gebäude oder Forschungen.</w:t>
      </w:r>
    </w:p>
    <w:p>
      <w:pPr>
        <w:numPr>
          <w:ilvl w:val="0"/>
          <w:numId w:val="13"/>
        </w:numPr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Bei ungewöhnlichen diktierten Begriffen nachfragen, wenn ein Spracherkennungsfehler wahrscheinlich ist.</w:t>
      </w:r>
    </w:p>
    <w:p>
      <w:pPr>
        <w:numPr>
          <w:ilvl w:val="0"/>
          <w:numId w:val="13"/>
        </w:numPr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Lieber zehn kleine funktionierende Versionen als eine schwer prüfbare Revolution.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2F75B5"/>
          <w:sz w:val="30"/>
        </w:rPr>
        <w:t>6. Technische Entwicklungsrichtlinien</w:t>
      </w:r>
    </w:p>
    <w:p>
      <w:pPr>
        <w:pStyle w:val="ListBullet"/>
        <w:spacing w:after="60"/>
      </w:pPr>
      <w:r>
        <w:rPr>
          <w:rFonts w:ascii="Aptos" w:hAnsi="Aptos"/>
          <w:b/>
          <w:color w:val="25364A"/>
          <w:sz w:val="20"/>
        </w:rPr>
        <w:t xml:space="preserve">Zeitquelle. </w:t>
      </w:r>
      <w:r>
        <w:rPr>
          <w:rFonts w:ascii="Aptos" w:hAnsi="Aptos"/>
          <w:b w:val="0"/>
          <w:color w:val="25364A"/>
          <w:sz w:val="20"/>
        </w:rPr>
        <w:t>HASA übernimmt die sichtbare Spielzeit von Horizon. Keine zweite Zeitlogik einführen, solange dies nicht als eigenes Feature beschlossen ist.</w:t>
      </w:r>
    </w:p>
    <w:p>
      <w:pPr>
        <w:pStyle w:val="ListBullet"/>
        <w:spacing w:after="60"/>
      </w:pPr>
      <w:r>
        <w:rPr>
          <w:rFonts w:ascii="Aptos" w:hAnsi="Aptos"/>
          <w:b/>
          <w:color w:val="25364A"/>
          <w:sz w:val="20"/>
        </w:rPr>
        <w:t xml:space="preserve">Sichtbarer Iststand. </w:t>
      </w:r>
      <w:r>
        <w:rPr>
          <w:rFonts w:ascii="Aptos" w:hAnsi="Aptos"/>
          <w:b w:val="0"/>
          <w:color w:val="25364A"/>
          <w:sz w:val="20"/>
        </w:rPr>
        <w:t>Forschungs- und Gebäudestände werden aus den tatsächlich geöffneten Horizon-Seiten gelesen. Die sichtbare Bereichsseite ist autoritativ und ersetzt veraltete gespeicherte Werte.</w:t>
      </w:r>
    </w:p>
    <w:p>
      <w:pPr>
        <w:pStyle w:val="ListBullet"/>
        <w:spacing w:after="60"/>
      </w:pPr>
      <w:r>
        <w:rPr>
          <w:rFonts w:ascii="Aptos" w:hAnsi="Aptos"/>
          <w:b/>
          <w:color w:val="25364A"/>
          <w:sz w:val="20"/>
        </w:rPr>
        <w:t xml:space="preserve">Typbestimmung. </w:t>
      </w:r>
      <w:r>
        <w:rPr>
          <w:rFonts w:ascii="Aptos" w:hAnsi="Aptos"/>
          <w:b w:val="0"/>
          <w:color w:val="25364A"/>
          <w:sz w:val="20"/>
        </w:rPr>
        <w:t>Vor der Einstufung als unbekannt werden vorhandene Datenquellen, insbesondere der lokale STAN-Bestand, geprüft.</w:t>
      </w:r>
    </w:p>
    <w:p>
      <w:pPr>
        <w:pStyle w:val="ListBullet"/>
        <w:spacing w:after="60"/>
      </w:pPr>
      <w:r>
        <w:rPr>
          <w:rFonts w:ascii="Aptos" w:hAnsi="Aptos"/>
          <w:b/>
          <w:color w:val="25364A"/>
          <w:sz w:val="20"/>
        </w:rPr>
        <w:t xml:space="preserve">TechTree. </w:t>
      </w:r>
      <w:r>
        <w:rPr>
          <w:rFonts w:ascii="Aptos" w:hAnsi="Aptos"/>
          <w:b w:val="0"/>
          <w:color w:val="25364A"/>
          <w:sz w:val="20"/>
        </w:rPr>
        <w:t>XML-Daten beschreiben Objekte, ersetzen aber nicht die stufenabhängige Abhängigkeitslogik des Community-TechTrees.</w:t>
      </w:r>
    </w:p>
    <w:p>
      <w:pPr>
        <w:pStyle w:val="ListBullet"/>
        <w:spacing w:after="60"/>
      </w:pPr>
      <w:r>
        <w:rPr>
          <w:rFonts w:ascii="Aptos" w:hAnsi="Aptos"/>
          <w:b/>
          <w:color w:val="25364A"/>
          <w:sz w:val="20"/>
        </w:rPr>
        <w:t xml:space="preserve">DOM-Erkennung. </w:t>
      </w:r>
      <w:r>
        <w:rPr>
          <w:rFonts w:ascii="Aptos" w:hAnsi="Aptos"/>
          <w:b w:val="0"/>
          <w:color w:val="25364A"/>
          <w:sz w:val="20"/>
        </w:rPr>
        <w:t>Nur eindeutige Horizon-Zeilen verwenden. Große Container mit mehreren möglichen Werten werden verworfen, statt geraten zu werden.</w:t>
      </w:r>
    </w:p>
    <w:p>
      <w:pPr>
        <w:pStyle w:val="ListBullet"/>
        <w:spacing w:after="60"/>
      </w:pPr>
      <w:r>
        <w:rPr>
          <w:rFonts w:ascii="Aptos" w:hAnsi="Aptos"/>
          <w:b/>
          <w:color w:val="25364A"/>
          <w:sz w:val="20"/>
        </w:rPr>
        <w:t xml:space="preserve">Speicherung. </w:t>
      </w:r>
      <w:r>
        <w:rPr>
          <w:rFonts w:ascii="Aptos" w:hAnsi="Aptos"/>
          <w:b w:val="0"/>
          <w:color w:val="25364A"/>
          <w:sz w:val="20"/>
        </w:rPr>
        <w:t>Vorhandene zentrale Speicherwege weiterverwenden. Neue Persistenzpfade benötigen eine begründete Migration.</w:t>
      </w:r>
    </w:p>
    <w:p>
      <w:pPr>
        <w:pStyle w:val="ListBullet"/>
        <w:spacing w:after="60"/>
      </w:pPr>
      <w:r>
        <w:rPr>
          <w:rFonts w:ascii="Aptos" w:hAnsi="Aptos"/>
          <w:b/>
          <w:color w:val="25364A"/>
          <w:sz w:val="20"/>
        </w:rPr>
        <w:t xml:space="preserve">Alarm. </w:t>
      </w:r>
      <w:r>
        <w:rPr>
          <w:rFonts w:ascii="Aptos" w:hAnsi="Aptos"/>
          <w:b w:val="0"/>
          <w:color w:val="25364A"/>
          <w:sz w:val="20"/>
        </w:rPr>
        <w:t>Bestehende Alarm-Engine verwenden und keine zweite parallele Alarmarchitektur aufbauen.</w:t>
      </w:r>
    </w:p>
    <w:p>
      <w:pPr>
        <w:pStyle w:val="ListBullet"/>
        <w:spacing w:after="60"/>
      </w:pPr>
      <w:r>
        <w:rPr>
          <w:rFonts w:ascii="Aptos" w:hAnsi="Aptos"/>
          <w:b/>
          <w:color w:val="25364A"/>
          <w:sz w:val="20"/>
        </w:rPr>
        <w:t xml:space="preserve">UI-Grenze. </w:t>
      </w:r>
      <w:r>
        <w:rPr>
          <w:rFonts w:ascii="Aptos" w:hAnsi="Aptos"/>
          <w:b w:val="0"/>
          <w:color w:val="25364A"/>
          <w:sz w:val="20"/>
        </w:rPr>
        <w:t>Ein-/Ausklappen, Accordion und Scrollbereiche dürfen keine Fachzustände löschen, neu berechnen oder neu zuordnen.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2F75B5"/>
          <w:sz w:val="30"/>
        </w:rPr>
        <w:t>7. Entwicklungsablauf und Qualitätssicherung</w:t>
      </w:r>
    </w:p>
    <w:p>
      <w:pPr>
        <w:numPr>
          <w:ilvl w:val="0"/>
          <w:numId w:val="14"/>
        </w:numPr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Ausgangsbasis sichern: Masterdatei, Versionskennung und beobachtbares Verhalten festhalten.</w:t>
      </w:r>
    </w:p>
    <w:p>
      <w:pPr>
        <w:numPr>
          <w:ilvl w:val="0"/>
          <w:numId w:val="14"/>
        </w:numPr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Änderungsziel begrenzen: betroffene Fläche oder Funktion sowie ausdrücklich unberührte Bereiche benennen.</w:t>
      </w:r>
    </w:p>
    <w:p>
      <w:pPr>
        <w:numPr>
          <w:ilvl w:val="0"/>
          <w:numId w:val="14"/>
        </w:numPr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Minimal implementieren: vorhandene Wege wiederverwenden; keine Nebenarchitektur oder verdeckte Migration erzeugen.</w:t>
      </w:r>
    </w:p>
    <w:p>
      <w:pPr>
        <w:numPr>
          <w:ilvl w:val="0"/>
          <w:numId w:val="14"/>
        </w:numPr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Statisch prüfen: vollständige Datei, Syntax, Userscript-Metadaten, Version, Build und offensichtliche DOM-Fehler kontrollieren.</w:t>
      </w:r>
    </w:p>
    <w:p>
      <w:pPr>
        <w:numPr>
          <w:ilvl w:val="0"/>
          <w:numId w:val="14"/>
        </w:numPr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Gezielt testen: geänderten Fall mit realistischen Horizon-Zuständen und mehreren unterschiedlichen Objekten prüfen.</w:t>
      </w:r>
    </w:p>
    <w:p>
      <w:pPr>
        <w:numPr>
          <w:ilvl w:val="0"/>
          <w:numId w:val="14"/>
        </w:numPr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Regression prüfen: Alarm, Ascension, TechTree, Speicherung und Dashboard in unberührten Bereichen kontrollieren.</w:t>
      </w:r>
    </w:p>
    <w:p>
      <w:pPr>
        <w:numPr>
          <w:ilvl w:val="0"/>
          <w:numId w:val="14"/>
        </w:numPr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Ausliefern und dokumentieren: vollständige .user.js.txt-Datei, eindeutiger Titel, Kurz-Changelog, Testumfang und bekannte Grenzen.</w:t>
      </w:r>
    </w:p>
    <w:p>
      <w:pPr>
        <w:numPr>
          <w:ilvl w:val="0"/>
          <w:numId w:val="14"/>
        </w:numPr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Dieses Entwicklerhandbuch auf den freigegebenen Stand aktualisieren.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2F75B5"/>
          <w:sz w:val="30"/>
        </w:rPr>
        <w:t>8. Bekannte Bedienpunkte und offene Fragen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Bei der Mindestliste kann im aktuellen Bedienablauf teilweise ein zusätzlicher Klick auf „Mindestliste lesen“ nötig sein. Vor einer Änderung ist das Verhalten am aktuellen Master erneut zu prüfen.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Für HASA 1.1 ist aus den Abschlusstests keine blockierende Fehlfunktion bekannt.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Rückmeldungen aus Veröffentlichung und Betatest werden gesammelt, bevor das nächste Funktionspaket festgelegt wird.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2F75B5"/>
          <w:sz w:val="30"/>
        </w:rPr>
        <w:t>9. Zukunftsgebiet: Galaxien-Scanner</w:t>
      </w:r>
    </w:p>
    <w:p>
      <w:pPr>
        <w:spacing w:after="100" w:line="259" w:lineRule="auto"/>
      </w:pPr>
      <w:r>
        <w:rPr>
          <w:rFonts w:ascii="Aptos" w:hAnsi="Aptos"/>
          <w:b w:val="0"/>
          <w:color w:val="25364A"/>
          <w:sz w:val="20"/>
        </w:rPr>
        <w:t>Als größeres mögliches Entwicklungsgebiet ist ein Galaxien-Scanner mit gemeinsamer Planetendatenbank vorgesehen. Dieses Modul ist ausdrücklich nicht Bestandteil der abgeschlossenen Version 1.1.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Beim normalen Öffnen einer Galaxie sichtbare System- und Planetendaten erfassen.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Daten mehrerer Spieler mit nachvollziehbarer letzter Aktualisierung zusammenführen.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Prospektions- und Sondenberichte möglichst direkt beim Öffnen erkennen und zur Übernahme anbieten.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Claims bzw. Reservierungen für Planeten abbilden.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color w:val="25364A"/>
          <w:sz w:val="20"/>
        </w:rPr>
        <w:t>Später Planetendaten und bekannte Schwarm-Kampfdaten mit einem Kampfsimulator verbinden.</w:t>
      </w:r>
    </w:p>
    <w:p>
      <w:pPr>
        <w:spacing w:after="100" w:line="259" w:lineRule="auto"/>
      </w:pPr>
      <w:r>
        <w:rPr>
          <w:rFonts w:ascii="Aptos" w:hAnsi="Aptos"/>
          <w:b w:val="0"/>
          <w:color w:val="25364A"/>
          <w:sz w:val="20"/>
        </w:rPr>
        <w:t>Für gemeinsame Daten wird voraussichtlich eine serverseitige Lösung benötigt. In der vorhandenen Webumgebung stehen grundsätzlich PHP und MySQL zur Verfügung; Architektur, Berechtigungen und Datenschutz sind vor einer Implementierung gesondert festzulegen.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2F75B5"/>
          <w:sz w:val="30"/>
        </w:rPr>
        <w:t>10. Pflege dieses Handbuchs</w:t>
      </w:r>
    </w:p>
    <w:p>
      <w:pPr>
        <w:spacing w:after="100" w:line="259" w:lineRule="auto"/>
      </w:pPr>
      <w:r>
        <w:rPr>
          <w:rFonts w:ascii="Aptos" w:hAnsi="Aptos"/>
          <w:b w:val="0"/>
          <w:color w:val="25364A"/>
          <w:sz w:val="20"/>
        </w:rPr>
        <w:t>Nach jedem freigegebenen HASA-Stand werden mindestens Dokumentdatum, gültige Projektbasis, maßgebliche Masterdatei, Versionsgeschichte, geänderte Regeln, bekannte Punkte, Tests und nächste Entwicklungsrichtung aktualisiert.</w:t>
      </w:r>
    </w:p>
    <w:p>
      <w:pPr>
        <w:spacing w:after="100" w:line="259" w:lineRule="auto"/>
      </w:pPr>
      <w:r>
        <w:rPr>
          <w:rFonts w:ascii="Aptos" w:hAnsi="Aptos"/>
          <w:b w:val="0"/>
          <w:color w:val="25364A"/>
          <w:sz w:val="20"/>
        </w:rPr>
        <w:t>Alte Versionen und Übergabeberichte bleiben als historische Referenzen erhalten, sind aber nicht automatisch die Ausgangsbasis neuer Arbeiten. Maßgeblich ist immer die auf der Titelseite benannte aktuelle Datei.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000"/>
            <w:shd w:fill="F1F4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2F75B5"/>
                <w:sz w:val="20"/>
              </w:rPr>
              <w:t xml:space="preserve">Kurzregel: </w:t>
            </w:r>
            <w:r>
              <w:rPr>
                <w:rFonts w:ascii="Aptos" w:hAnsi="Aptos"/>
                <w:b w:val="0"/>
                <w:color w:val="25364A"/>
                <w:sz w:val="20"/>
              </w:rPr>
              <w:t>Handbuch lesen → aktuellen Master lesen → Verhalten verstehen → klein ändern → vollständig testen → vollständig liefern → Handbuch fortschreiben.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792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 w:val="0"/>
      <w:spacing w:before="0" w:after="0" w:line="240" w:lineRule="auto"/>
      <w:jc w:val="right"/>
    </w:pPr>
    <w:r>
      <w:rPr>
        <w:rFonts w:ascii="Aptos" w:hAnsi="Aptos"/>
        <w:b w:val="0"/>
        <w:color w:val="697787"/>
        <w:sz w:val="17"/>
      </w:rPr>
      <w:t xml:space="preserve">Stand 28.08.2026   |   Seite </w:t>
    </w:r>
    <w:r>
      <w:rPr>
        <w:rFonts w:ascii="Aptos" w:hAnsi="Aptos"/>
        <w:b w:val="0"/>
        <w:color w:val="697787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ptos" w:hAnsi="Aptos"/>
        <w:b w:val="0"/>
        <w:color w:val="697787"/>
        <w:sz w:val="17"/>
      </w:rPr>
      <w:t xml:space="preserve"> von </w:t>
    </w:r>
    <w:r>
      <w:rPr>
        <w:rFonts w:ascii="Aptos" w:hAnsi="Aptos"/>
        <w:b w:val="0"/>
        <w:color w:val="697787"/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tabs>
        <w:tab w:pos="10080" w:val="left"/>
      </w:tabs>
      <w:spacing w:before="0" w:after="0" w:line="240" w:lineRule="auto"/>
      <w:jc w:val="left"/>
    </w:pPr>
    <w:r>
      <w:rPr>
        <w:rFonts w:ascii="Calibri" w:hAnsi="Calibri"/>
        <w:b/>
        <w:color w:val="5F6B78"/>
        <w:sz w:val="17"/>
      </w:rPr>
      <w:t>HASA  |  Entwicklerhandbuch</w:t>
    </w:r>
    <w:r>
      <w:rPr>
        <w:rFonts w:ascii="Calibri" w:hAnsi="Calibri"/>
        <w:color w:val="5F6B78"/>
        <w:sz w:val="17"/>
      </w:rPr>
      <w:tab/>
      <w:t>Lebendes Projekthandbuch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  <w:spacing w:after="40" w:line="26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40" w:line="26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40" w:line="26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8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8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/>
      <w:color w:val="2434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4344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40" w:line="240" w:lineRule="auto"/>
    </w:pPr>
    <w:rPr>
      <w:rFonts w:asciiTheme="majorHAnsi" w:eastAsiaTheme="majorEastAsia" w:hAnsiTheme="majorHAnsi" w:cstheme="majorBidi" w:ascii="Calibri" w:hAnsi="Calibri"/>
      <w:i w:val="0"/>
      <w:iCs/>
      <w:color w:val="5F6B78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ASACallout">
    <w:name w:val="HASA Callout"/>
    <w:basedOn w:val="Normal"/>
    <w:pPr>
      <w:spacing w:before="60" w:after="80" w:line="252" w:lineRule="auto"/>
      <w:ind w:left="144" w:right="115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HASA Entwicklerhandbuch</dc:title>
  <dc:subject>Projektüberblick, Architektur, Arbeitsregeln, Versionsstand und Entwicklungsrichtlinien</dc:subject>
  <dc:creator>HASA-Projekt</dc:creator>
  <cp:keywords>HASA, Horizon Ascension Assistant, Tampermonkey, Entwicklerhandbuch</cp:keywords>
  <dc:description>Verbindlicher Referenzstand auf Basis der HASA-Projektentscheidungen bis 24.08.2026.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